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83" w:rsidRDefault="00AA0483" w:rsidP="00AA0483">
      <w:pPr>
        <w:spacing w:after="0" w:line="240" w:lineRule="auto"/>
        <w:ind w:left="10632"/>
        <w:contextualSpacing/>
        <w:rPr>
          <w:rFonts w:ascii="Times New Roman" w:hAnsi="Times New Roman" w:cs="Times New Roman"/>
          <w:bCs/>
          <w:sz w:val="20"/>
          <w:szCs w:val="18"/>
        </w:rPr>
      </w:pPr>
      <w:bookmarkStart w:id="0" w:name="_Hlk103953989"/>
      <w:bookmarkStart w:id="1" w:name="_Hlk132809041"/>
      <w:r w:rsidRPr="00BC266A">
        <w:rPr>
          <w:rFonts w:ascii="Times New Roman" w:hAnsi="Times New Roman" w:cs="Times New Roman"/>
          <w:bCs/>
          <w:sz w:val="20"/>
          <w:szCs w:val="18"/>
        </w:rPr>
        <w:t>Приложение к объявлению о приеме документов для участия в конкурсе на замещение вакантной должности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</w:t>
      </w:r>
    </w:p>
    <w:p w:rsidR="00AA0483" w:rsidRDefault="00AA0483" w:rsidP="00AA048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2" w:name="_GoBack"/>
      <w:r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</w:rPr>
        <w:br/>
        <w:t xml:space="preserve">вакантных должностей государственной гражданской службы Республики Дагестан </w:t>
      </w:r>
      <w:bookmarkEnd w:id="2"/>
      <w:r>
        <w:rPr>
          <w:rFonts w:ascii="Times New Roman" w:hAnsi="Times New Roman" w:cs="Times New Roman"/>
          <w:b/>
          <w:sz w:val="24"/>
        </w:rPr>
        <w:br/>
        <w:t xml:space="preserve">в Министерстве строительства, архитектуры и жилищно-коммунального хозяйства Республики Дагестан </w:t>
      </w: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298"/>
        <w:gridCol w:w="992"/>
        <w:gridCol w:w="1417"/>
        <w:gridCol w:w="993"/>
        <w:gridCol w:w="2127"/>
        <w:gridCol w:w="6913"/>
      </w:tblGrid>
      <w:tr w:rsidR="00AA0483" w:rsidTr="003606E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вакантной </w:t>
            </w:r>
            <w:r>
              <w:rPr>
                <w:rFonts w:ascii="Times New Roman" w:hAnsi="Times New Roman" w:cs="Times New Roman"/>
                <w:sz w:val="20"/>
              </w:rPr>
              <w:br/>
              <w:t>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штатных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Область, вид </w:t>
            </w:r>
            <w:r>
              <w:rPr>
                <w:rFonts w:ascii="Times New Roman" w:hAnsi="Times New Roman" w:cs="Times New Roman"/>
              </w:rPr>
              <w:br/>
              <w:t xml:space="preserve">профессиональной </w:t>
            </w:r>
            <w:r>
              <w:rPr>
                <w:rFonts w:ascii="Times New Roman" w:hAnsi="Times New Roman" w:cs="Times New Roman"/>
              </w:rPr>
              <w:br/>
              <w:t>служебной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Квалификационные </w:t>
            </w:r>
            <w:r>
              <w:rPr>
                <w:rFonts w:ascii="Times New Roman" w:hAnsi="Times New Roman" w:cs="Times New Roman"/>
                <w:sz w:val="20"/>
              </w:rPr>
              <w:br/>
              <w:t>требования к специальности</w:t>
            </w:r>
          </w:p>
        </w:tc>
      </w:tr>
      <w:tr w:rsidR="00AA0483" w:rsidTr="003606EC">
        <w:trPr>
          <w:jc w:val="center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3" w:rsidRDefault="00AA0483" w:rsidP="003606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0483" w:rsidRDefault="00AA0483" w:rsidP="003606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АРХИТЕКТУРЫ И ГРАДОСТРОИТЕЛЬСТВА</w:t>
            </w: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A0483" w:rsidTr="003606EC">
        <w:trPr>
          <w:trHeight w:val="1530"/>
          <w:jc w:val="center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_Hlk132464310"/>
            <w:r>
              <w:rPr>
                <w:rFonts w:ascii="Times New Roman" w:hAnsi="Times New Roman" w:cs="Times New Roman"/>
                <w:sz w:val="20"/>
              </w:rPr>
              <w:t>Главный специалист – эксперт отдела развития коммунального комплекса и реализации инвестиционных программ Управления коммунального хозяйства</w:t>
            </w:r>
            <w:bookmarkEnd w:id="3"/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Ведущая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жилищно-коммунального хозяйства и строительства.</w:t>
            </w: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(17.3) Оценка и учет состояния объектов жилищно-коммунального комплекса</w:t>
            </w: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Вид (17.4) Регулирование в сфере коммунальных и эксплуатационных услуг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Pr="007F5178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0"/>
              </w:rPr>
              <w:t xml:space="preserve">по специальности, направлению подготовки: </w:t>
            </w:r>
            <w:bookmarkStart w:id="4" w:name="_Hlk132464378"/>
            <w:r>
              <w:rPr>
                <w:rFonts w:ascii="Times New Roman" w:hAnsi="Times New Roman" w:cs="Times New Roman"/>
                <w:sz w:val="20"/>
              </w:rPr>
              <w:t xml:space="preserve">«Теплоэнергетика и теплотехника», «Электроэнергетика и электротехника», «Водоснабжение и водоотведение», «Техника и технологии строительства», «Строительство»,   «Промышленное и гражданское строительство», «Жилищное хозяйство и коммунальная инфраструктура», «Управление городской инфраструктурой и развитием территорий», «Системы водоснабжения, водоотведения и охраны водных ресурсов», «Городское строительство и жилищно-коммунальный комплекс», «Экономика», «Экономика и управление», « «Государственное и муниципальное управление»,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«Прикладная математика и информатика»,  Прикладная информатика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экономике»</w:t>
            </w:r>
            <w:bookmarkEnd w:id="4"/>
            <w:r>
              <w:rPr>
                <w:rFonts w:ascii="Times New Roman" w:hAnsi="Times New Roman" w:cs="Times New Roman"/>
                <w:sz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  <w:tr w:rsidR="00AA0483" w:rsidTr="003606EC">
        <w:trPr>
          <w:trHeight w:val="254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Pr="00E304D8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E304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предъявления требований</w:t>
            </w:r>
            <w:r w:rsidRPr="00E304D8">
              <w:rPr>
                <w:rFonts w:ascii="Times New Roman" w:eastAsia="Times New Roman" w:hAnsi="Times New Roman" w:cs="Times New Roman"/>
                <w:b/>
                <w:lang w:eastAsia="ru-RU"/>
              </w:rPr>
              <w:t> к стажу</w:t>
            </w:r>
          </w:p>
        </w:tc>
      </w:tr>
      <w:tr w:rsidR="00AA0483" w:rsidTr="003606EC">
        <w:trPr>
          <w:trHeight w:val="34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5" w:name="_Hlk132466108"/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Главный специалист-эксперт отдела </w:t>
            </w: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развития строительного комплекса Управления развития строительного комплекса</w:t>
            </w:r>
            <w:bookmarkEnd w:id="5"/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Специалисты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Область (17): регулирование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жилищно-коммунального хозяйства и строительства.</w:t>
            </w:r>
          </w:p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(17.4)Регулирование в сфере коммунальных и эксплуатационных услуг.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Высшее образование</w:t>
            </w:r>
            <w:r>
              <w:rPr>
                <w:rFonts w:ascii="Times New Roman" w:hAnsi="Times New Roman" w:cs="Times New Roman"/>
                <w:sz w:val="20"/>
              </w:rPr>
              <w:t xml:space="preserve"> по специальности, направлению подготовки: </w:t>
            </w:r>
            <w:bookmarkStart w:id="6" w:name="_Hlk132466157"/>
            <w:r>
              <w:rPr>
                <w:rFonts w:ascii="Times New Roman" w:hAnsi="Times New Roman" w:cs="Times New Roman"/>
                <w:sz w:val="20"/>
              </w:rPr>
              <w:t xml:space="preserve">«Юриспруденция», «Экономика», «Экономика и управление»,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«Строительство», «Техника и технологии строительства», «Промышленное и гражданское строительство», «Строительство и эксплуатация зданий и сооружений»</w:t>
            </w:r>
            <w:bookmarkEnd w:id="6"/>
            <w:r>
              <w:rPr>
                <w:rFonts w:ascii="Times New Roman" w:hAnsi="Times New Roman" w:cs="Times New Roman"/>
                <w:sz w:val="20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AA0483" w:rsidRPr="006D6041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________________________________________________________________</w:t>
            </w:r>
          </w:p>
          <w:p w:rsidR="00AA0483" w:rsidRPr="00E304D8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4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предъявления требований к стажу</w:t>
            </w:r>
          </w:p>
        </w:tc>
      </w:tr>
      <w:tr w:rsidR="00AA0483" w:rsidTr="003606EC">
        <w:trPr>
          <w:trHeight w:val="343"/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7" w:name="_Hlk132466388"/>
            <w:r>
              <w:rPr>
                <w:rFonts w:ascii="Times New Roman" w:hAnsi="Times New Roman" w:cs="Times New Roman"/>
                <w:sz w:val="20"/>
              </w:rPr>
              <w:t>Главный специалист-эксперт отдела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сопровождения строительных объектов Управления реализации проектов</w:t>
            </w:r>
            <w:bookmarkEnd w:id="7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жилищно-коммунального хозяйства и строительства.</w:t>
            </w:r>
          </w:p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(17.2) Техническое регулирование градостроительной деятельности и архитектуры</w:t>
            </w:r>
          </w:p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20"/>
              </w:rPr>
              <w:t xml:space="preserve">по специальности, направлению подготовки: </w:t>
            </w:r>
            <w:bookmarkStart w:id="8" w:name="_Hlk132466428"/>
            <w:r>
              <w:rPr>
                <w:rFonts w:ascii="Times New Roman" w:hAnsi="Times New Roman" w:cs="Times New Roman"/>
                <w:sz w:val="20"/>
              </w:rPr>
              <w:t xml:space="preserve">«Юриспруденция», «Экономика», «Экономика и управление», «Государственное и муниципальное управление», «Архитектура и строительство», «Градостроительство», «Техника и технологии строительства», «Строительство», «Промышленное и гражданское строительство», «Проектирование зданий»,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проектами в строительстве», </w:t>
            </w:r>
            <w:r>
              <w:rPr>
                <w:rFonts w:ascii="Times New Roman" w:hAnsi="Times New Roman" w:cs="Times New Roman"/>
                <w:sz w:val="20"/>
              </w:rPr>
              <w:t>«Прикладная математика и информатика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bookmarkEnd w:id="8"/>
            <w:r>
              <w:rPr>
                <w:rFonts w:ascii="Times New Roman" w:hAnsi="Times New Roman" w:cs="Times New Roman"/>
                <w:sz w:val="20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</w:t>
            </w:r>
          </w:p>
          <w:p w:rsidR="00AA0483" w:rsidRPr="00E304D8" w:rsidRDefault="00AA0483" w:rsidP="003606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4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предъявления требований к стажу</w:t>
            </w:r>
          </w:p>
        </w:tc>
      </w:tr>
      <w:tr w:rsidR="00AA0483" w:rsidTr="003606EC">
        <w:trPr>
          <w:trHeight w:val="343"/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Консультант отдела по благоустройству и развитию территорий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жилищно-коммунального хозяйства и строительства.</w:t>
            </w: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(17.2) Техническое регулирование градостроительной деятельности и архитектуры.</w:t>
            </w: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</w:rPr>
              <w:t xml:space="preserve"> по специальности, направлению подготовки: «Экономика», «Экономика и управление», «Государственное и муниципальное управление», «Архитектура», «Архитектура и строительство», «Градостроительство», «Строительство», «Ландшафтная архитектура»  «Управление городской инфраструктурой и развитием территорий»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</w:t>
            </w:r>
          </w:p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_________________________________________________________________</w:t>
            </w:r>
          </w:p>
          <w:p w:rsidR="00AA0483" w:rsidRPr="00E304D8" w:rsidRDefault="00AA0483" w:rsidP="003606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4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предъявления требований к стажу</w:t>
            </w:r>
          </w:p>
        </w:tc>
      </w:tr>
      <w:tr w:rsidR="00AA0483" w:rsidTr="003606EC">
        <w:trPr>
          <w:trHeight w:val="343"/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_Hlk132465442"/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Консультант отдела контроля за соблюдением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законодательства о градостроительной деятельности </w:t>
            </w:r>
            <w:bookmarkEnd w:id="9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коммунального хозяйства и строительства.</w:t>
            </w: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(17.2) Техническое регулирование градостроительной деятельности и архитектуры.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483" w:rsidRDefault="00AA0483" w:rsidP="003606EC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Высшее образование </w:t>
            </w:r>
            <w:r>
              <w:rPr>
                <w:rFonts w:ascii="Times New Roman" w:hAnsi="Times New Roman" w:cs="Times New Roman"/>
                <w:sz w:val="20"/>
              </w:rPr>
              <w:t xml:space="preserve">по специальности, направлению подготовки: </w:t>
            </w:r>
            <w:bookmarkStart w:id="10" w:name="_Hlk132465505"/>
            <w:r>
              <w:rPr>
                <w:rFonts w:ascii="Times New Roman" w:hAnsi="Times New Roman" w:cs="Times New Roman"/>
                <w:sz w:val="20"/>
              </w:rPr>
              <w:t xml:space="preserve">«Градостроительство», «Архитектура», «Архитектура и строительство», «Техника и технологии строительства», «Строительство», «Промышленное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гражданское строительство», «Проектирование зданий», «Ландшафтная архитектура», «Управление городской инфраструктурой и развитием территорий», «Юриспруденция»  </w:t>
            </w:r>
            <w:bookmarkEnd w:id="10"/>
            <w:r>
              <w:rPr>
                <w:rFonts w:ascii="Times New Roman" w:hAnsi="Times New Roman" w:cs="Times New Roman"/>
                <w:sz w:val="20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  <w:p w:rsidR="00AA0483" w:rsidRDefault="00AA0483" w:rsidP="003606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AA0483" w:rsidRPr="00E304D8" w:rsidRDefault="00AA0483" w:rsidP="003606E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04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предъявления требований к стажу</w:t>
            </w:r>
          </w:p>
        </w:tc>
      </w:tr>
      <w:tr w:rsidR="00AA0483" w:rsidTr="003606EC">
        <w:trPr>
          <w:trHeight w:val="343"/>
          <w:jc w:val="center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3" w:rsidRDefault="00AA0483" w:rsidP="003606E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3" w:rsidRDefault="00AA0483" w:rsidP="003606E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83" w:rsidRDefault="00AA0483" w:rsidP="003606EC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0483" w:rsidTr="003606EC">
        <w:trPr>
          <w:trHeight w:val="2113"/>
          <w:jc w:val="center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Положения должностного регламента гражданского служащего 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(должностные обязанности, права и ответственность, показатели эффективности и результативности профессиональной служебной деятельности)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Должностные обязанности: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соблюдать законодательство Российской Федерации о противодействии коррупции и государственной тайне.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483" w:rsidRDefault="00AA0483" w:rsidP="003606E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Основные права гражданского 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регулируются статьей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  <w:r>
              <w:rPr>
                <w:rFonts w:ascii="Times New Roman" w:hAnsi="Times New Roman" w:cs="Aharoni"/>
                <w:sz w:val="16"/>
                <w:szCs w:val="16"/>
              </w:rPr>
              <w:t xml:space="preserve">Федерального закона № 79-ФЗ,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статьей 12 Закона Республики Дагестан №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0483" w:rsidRDefault="00AA0483" w:rsidP="003606EC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достижения целей и задач, стоящих перед отделом, гражданский служащий имеет также право:</w:t>
            </w:r>
          </w:p>
          <w:p w:rsidR="00AA0483" w:rsidRDefault="00AA0483" w:rsidP="00AA048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представлять отдел, организовывать и координировать осуществление функций отдела в соответствии с Положением об отделе, управлении;</w:t>
            </w:r>
          </w:p>
          <w:p w:rsidR="00AA0483" w:rsidRDefault="00AA0483" w:rsidP="00AA048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вносить руководству Минстроя РД предложения по вопросам его сферы деятельности, участвовать в их рассмотрении;</w:t>
            </w:r>
          </w:p>
          <w:p w:rsidR="00AA0483" w:rsidRDefault="00AA0483" w:rsidP="00AA048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знакомиться с документами и материалами, необходимыми для выполнения возложенных на него задач и функций;</w:t>
            </w:r>
          </w:p>
          <w:p w:rsidR="00AA0483" w:rsidRDefault="00AA0483" w:rsidP="00AA048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осуществлять необходимое взаимодействие при осуществлении своих полномочий с другими структурными подразделениями Минстроя РД,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запрашивать и получать, в установленном порядке необходимые материалы по вопросам ведения отдела;</w:t>
            </w:r>
          </w:p>
          <w:p w:rsidR="00AA0483" w:rsidRDefault="00AA0483" w:rsidP="00AA048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принимать решения в соответствии с должностными обязанностями;</w:t>
            </w:r>
          </w:p>
          <w:p w:rsidR="00AA0483" w:rsidRDefault="00AA0483" w:rsidP="00AA048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      </w:r>
          </w:p>
          <w:p w:rsidR="00AA0483" w:rsidRDefault="00AA0483" w:rsidP="00AA0483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осуществлять иные полномочия, предусмотренные законодательством Российской Федерации и Республики Дагестан, положением о Минстрое РД, положением об отделе, управлении.</w:t>
            </w:r>
          </w:p>
          <w:p w:rsidR="00AA0483" w:rsidRDefault="00AA0483" w:rsidP="003606EC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0483" w:rsidRDefault="00AA0483" w:rsidP="003606EC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Гражданский служащий несет предусмотренную законодательством Российской Федерации ответствен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ность за:</w:t>
            </w:r>
          </w:p>
          <w:p w:rsidR="00AA0483" w:rsidRDefault="00AA0483" w:rsidP="003606EC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неисполнение либо за ненадлежащее исполнение должностных обязанностей;</w:t>
            </w:r>
          </w:p>
          <w:p w:rsidR="00AA0483" w:rsidRDefault="00AA0483" w:rsidP="003606EC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ограничений, невыполнение обязательств и требований к служеб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ному поведению, нарушение запретов, установленных законодательством Российской Федерации;</w:t>
            </w:r>
          </w:p>
          <w:p w:rsidR="00AA0483" w:rsidRDefault="00AA0483" w:rsidP="003606EC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разглашение служебной информации, ставшей известной гражданскому служа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щему в связи с исполнением им должностных обязанностей.</w:t>
            </w:r>
          </w:p>
          <w:p w:rsidR="00AA0483" w:rsidRDefault="00AA0483" w:rsidP="00AA0483">
            <w:pPr>
              <w:pStyle w:val="a5"/>
              <w:numPr>
                <w:ilvl w:val="2"/>
                <w:numId w:val="4"/>
              </w:numPr>
              <w:shd w:val="clear" w:color="auto" w:fill="FFFFFF"/>
              <w:tabs>
                <w:tab w:val="left" w:pos="284"/>
                <w:tab w:val="left" w:pos="993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совершение дисциплинарного проступка, то есть за неисполнение или не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ния: замечание, выговор, предупреждение о неполном должностном соответ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ствии, увольнение с гражданской службы по предусмотренным законодатель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ством Российской Федерации основаниям.</w:t>
            </w:r>
          </w:p>
          <w:p w:rsidR="00AA0483" w:rsidRDefault="00AA0483" w:rsidP="00AA0483">
            <w:pPr>
              <w:pStyle w:val="a5"/>
              <w:numPr>
                <w:ilvl w:val="2"/>
                <w:numId w:val="4"/>
              </w:numPr>
              <w:shd w:val="clear" w:color="auto" w:fill="FFFFFF"/>
              <w:tabs>
                <w:tab w:val="left" w:pos="284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несоблюдение гражданским служащим ограничений и запретов, требова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ний о предотвращении или об урегулировании конфликта интересов и неиспол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нение обязанностей, установленных в целях противодействия коррупции Федеральным законом, Федеральным </w:t>
            </w:r>
            <w:hyperlink r:id="rId5" w:history="1">
              <w:r>
                <w:rPr>
                  <w:rStyle w:val="a4"/>
                  <w:rFonts w:ascii="Times New Roman" w:eastAsia="Times New Roman" w:hAnsi="Times New Roman" w:cs="Times New Roman"/>
                  <w:color w:val="4D6BBC"/>
                  <w:sz w:val="16"/>
                  <w:szCs w:val="16"/>
                  <w:lang w:eastAsia="ru-RU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ом «О противодействии коррупции» и другими федеральными законами, налагаются следующие взыскания: замечание, выговор, предупреждение о неполном должностном соответствии, увольнение с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ской службы в связи с утратой доверия представителем нанимателя к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скому служащему.</w:t>
            </w:r>
          </w:p>
          <w:p w:rsidR="00AA0483" w:rsidRDefault="00AA0483" w:rsidP="003606EC">
            <w:pPr>
              <w:pStyle w:val="a5"/>
              <w:shd w:val="clear" w:color="auto" w:fill="FFFFFF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Гражданский служащий осуществляет иные права и обязанности, предусмотренные законодательством Российской Федерации, приказами и поручениями руководства Минстроя РД.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Показатели эффективности и результативности профессиональной служебной деятельности:</w:t>
            </w:r>
          </w:p>
          <w:p w:rsidR="00AA0483" w:rsidRDefault="00AA0483" w:rsidP="003606EC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171" w:right="68" w:hanging="171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своевременность и оперативность, то есть выполнение поручений в установленные законодательством, должностным регламентом или руководством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Минстроя РД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сроки.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выполняемый объем работы (количество завершенной и текущей работы).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 выполненной работы:</w:t>
            </w:r>
          </w:p>
          <w:p w:rsidR="00AA0483" w:rsidRDefault="00AA0483" w:rsidP="00AA0483">
            <w:pPr>
              <w:numPr>
                <w:ilvl w:val="0"/>
                <w:numId w:val="1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подготовка документов в соответствии с установленными требованиями;</w:t>
            </w:r>
          </w:p>
          <w:p w:rsidR="00AA0483" w:rsidRDefault="00AA0483" w:rsidP="00AA0483">
            <w:pPr>
              <w:numPr>
                <w:ilvl w:val="0"/>
                <w:numId w:val="1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тщательность и аккуратность, независимо от количества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AA0483" w:rsidRDefault="00AA0483" w:rsidP="00AA0483">
            <w:pPr>
              <w:numPr>
                <w:ilvl w:val="0"/>
                <w:numId w:val="1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юридически грамотное составление документа;</w:t>
            </w:r>
          </w:p>
          <w:p w:rsidR="00AA0483" w:rsidRDefault="00AA0483" w:rsidP="00AA0483">
            <w:pPr>
              <w:numPr>
                <w:ilvl w:val="0"/>
                <w:numId w:val="1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стилистических и грамматических ошибок;</w:t>
            </w:r>
          </w:p>
          <w:p w:rsidR="00AA0483" w:rsidRDefault="00AA0483" w:rsidP="00AA0483">
            <w:pPr>
              <w:numPr>
                <w:ilvl w:val="0"/>
                <w:numId w:val="1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своевременному и качественному рассмотрению обращений, заявлений граждан;</w:t>
            </w:r>
          </w:p>
          <w:p w:rsidR="00AA0483" w:rsidRDefault="00AA0483" w:rsidP="00AA0483">
            <w:pPr>
              <w:numPr>
                <w:ilvl w:val="0"/>
                <w:numId w:val="1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наличию жалоб на результаты исполнения должностных обязанностей;</w:t>
            </w:r>
          </w:p>
          <w:p w:rsidR="00AA0483" w:rsidRDefault="00AA0483" w:rsidP="00AA0483">
            <w:pPr>
              <w:numPr>
                <w:ilvl w:val="0"/>
                <w:numId w:val="1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отсутствию нарушений по результатам проверок контролирующих органов.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профессионализм:</w:t>
            </w:r>
          </w:p>
          <w:p w:rsidR="00AA0483" w:rsidRDefault="00AA0483" w:rsidP="00AA0483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высокая ориентация на результат и заинтересованность в достижении поставленных целей</w:t>
            </w:r>
            <w:r>
              <w:rPr>
                <w:rFonts w:ascii="Times New Roman" w:hAnsi="Times New Roman"/>
                <w:sz w:val="16"/>
                <w:szCs w:val="16"/>
              </w:rPr>
              <w:t>);</w:t>
            </w:r>
          </w:p>
          <w:p w:rsidR="00AA0483" w:rsidRDefault="00AA0483" w:rsidP="00AA0483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способности выполнять должностные функции самостоятельно, без помощи непосредственного руководителя;</w:t>
            </w:r>
          </w:p>
          <w:p w:rsidR="00AA0483" w:rsidRDefault="00AA0483" w:rsidP="00AA0483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способность сохранять высокую работоспособность, четко организовывать и планировать выполнение порученных заданий, умение рационально использовать рабочее время, расставлять приоритеты, ставить перед подчиненными ясные и четкие цели, а также реальные сроки их достижения;</w:t>
            </w:r>
          </w:p>
          <w:p w:rsidR="00AA0483" w:rsidRDefault="00AA0483" w:rsidP="00AA0483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      </w:r>
          </w:p>
          <w:p w:rsidR="00AA0483" w:rsidRDefault="00AA0483" w:rsidP="00AA0483">
            <w:pPr>
              <w:numPr>
                <w:ilvl w:val="0"/>
                <w:numId w:val="2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осознание ответственности за последствия своих действий, принимаемых решений.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установление и поддержание деловых взаимоотношений.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сложность служебной деятельности и выполненных документов, заданий.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определении сложности служебной деятельности и выполненных документов, заданий учитываются такие факторы, как:</w:t>
            </w:r>
          </w:p>
          <w:p w:rsidR="00AA0483" w:rsidRDefault="00AA0483" w:rsidP="003606EC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сложность объекта государственного управления;</w:t>
            </w:r>
          </w:p>
          <w:p w:rsidR="00AA0483" w:rsidRDefault="00AA0483" w:rsidP="003606EC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и сложность процессов, подлежащих управлению;</w:t>
            </w:r>
          </w:p>
          <w:p w:rsidR="00AA0483" w:rsidRDefault="00AA0483" w:rsidP="003606EC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работ, составляющих содержание служебной деятельности;</w:t>
            </w:r>
          </w:p>
          <w:p w:rsidR="00AA0483" w:rsidRDefault="00AA0483" w:rsidP="003606EC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новизна работ;</w:t>
            </w:r>
          </w:p>
          <w:p w:rsidR="00AA0483" w:rsidRDefault="00AA0483" w:rsidP="003606EC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разнообразие и комплексность работ;</w:t>
            </w:r>
          </w:p>
          <w:p w:rsidR="00AA0483" w:rsidRDefault="00AA0483" w:rsidP="003606EC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самостоятельность выполнения служебных обязанностей.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использование в процессе работы автоматизированных средств обработки.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соблюдение служебной дисциплины.</w:t>
            </w:r>
          </w:p>
          <w:p w:rsidR="00AA0483" w:rsidRDefault="00AA0483" w:rsidP="00AA0483">
            <w:pPr>
              <w:numPr>
                <w:ilvl w:val="1"/>
                <w:numId w:val="5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выполнению дополнительно возложенных на отдел задач.</w:t>
            </w:r>
          </w:p>
          <w:p w:rsidR="00AA0483" w:rsidRDefault="00AA0483" w:rsidP="003606E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показатели результативности определяются локальными нормативно правовыми актами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Минстроя РД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AA0483" w:rsidRDefault="00AA0483" w:rsidP="00AA048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bookmarkEnd w:id="0"/>
    <w:bookmarkEnd w:id="1"/>
    <w:p w:rsidR="00E709FF" w:rsidRDefault="00AA0483"/>
    <w:sectPr w:rsidR="00E709FF" w:rsidSect="00AA04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744"/>
    <w:multiLevelType w:val="hybridMultilevel"/>
    <w:tmpl w:val="8FA0903E"/>
    <w:lvl w:ilvl="0" w:tplc="645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BA524B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E0116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3" w15:restartNumberingAfterBreak="0">
    <w:nsid w:val="3E5B56CB"/>
    <w:multiLevelType w:val="multilevel"/>
    <w:tmpl w:val="539E55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3AF0857"/>
    <w:multiLevelType w:val="hybridMultilevel"/>
    <w:tmpl w:val="4F9ED950"/>
    <w:lvl w:ilvl="0" w:tplc="645A45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83"/>
    <w:rsid w:val="00707619"/>
    <w:rsid w:val="00A90C21"/>
    <w:rsid w:val="00A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22484-7411-41EF-8FE7-A745A4AD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0483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AA048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A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2666F8C7D5A5263BD6668D4B5CA231915AA9FBD24069118B0EDD21037BB361744DD8C6W6a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Гасанбекова</dc:creator>
  <cp:keywords/>
  <dc:description/>
  <cp:lastModifiedBy>Заира Гасанбекова</cp:lastModifiedBy>
  <cp:revision>1</cp:revision>
  <dcterms:created xsi:type="dcterms:W3CDTF">2024-10-21T14:50:00Z</dcterms:created>
  <dcterms:modified xsi:type="dcterms:W3CDTF">2024-10-21T14:51:00Z</dcterms:modified>
</cp:coreProperties>
</file>