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8D498B" w:rsidRPr="00CD3461" w:rsidRDefault="000204E9" w:rsidP="000204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112EC6">
        <w:rPr>
          <w:rFonts w:ascii="Times New Roman" w:hAnsi="Times New Roman" w:cs="Times New Roman"/>
          <w:b/>
          <w:sz w:val="28"/>
          <w:szCs w:val="28"/>
        </w:rPr>
        <w:t xml:space="preserve"> проведении предварительного отбора для</w:t>
      </w:r>
      <w:r w:rsidR="008D498B" w:rsidRPr="00CD3461">
        <w:rPr>
          <w:rFonts w:ascii="Times New Roman" w:hAnsi="Times New Roman" w:cs="Times New Roman"/>
          <w:b/>
          <w:sz w:val="28"/>
          <w:szCs w:val="28"/>
        </w:rPr>
        <w:t xml:space="preserve"> </w:t>
      </w:r>
      <w:r>
        <w:rPr>
          <w:rFonts w:ascii="Times New Roman" w:hAnsi="Times New Roman" w:cs="Times New Roman"/>
          <w:b/>
          <w:sz w:val="28"/>
          <w:szCs w:val="28"/>
        </w:rPr>
        <w:t>в</w:t>
      </w:r>
      <w:r w:rsidRPr="000204E9">
        <w:rPr>
          <w:rFonts w:ascii="Times New Roman" w:hAnsi="Times New Roman"/>
          <w:b/>
          <w:bCs/>
          <w:sz w:val="28"/>
          <w:szCs w:val="28"/>
        </w:rPr>
        <w:t>ключени</w:t>
      </w:r>
      <w:r w:rsidR="00112EC6">
        <w:rPr>
          <w:rFonts w:ascii="Times New Roman" w:hAnsi="Times New Roman"/>
          <w:b/>
          <w:bCs/>
          <w:sz w:val="28"/>
          <w:szCs w:val="28"/>
        </w:rPr>
        <w:t>я</w:t>
      </w:r>
      <w:r w:rsidRPr="000204E9">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w:t>
      </w:r>
      <w:r w:rsidRPr="000204E9">
        <w:rPr>
          <w:rFonts w:ascii="Times New Roman" w:hAnsi="Times New Roman" w:cs="Times New Roman"/>
          <w:b/>
          <w:sz w:val="28"/>
          <w:szCs w:val="28"/>
        </w:rPr>
        <w:t xml:space="preserve">выполнение работ по оценке соответствия лифтов требованиям технического </w:t>
      </w:r>
      <w:hyperlink r:id="rId8" w:history="1">
        <w:r w:rsidRPr="000204E9">
          <w:rPr>
            <w:rFonts w:ascii="Times New Roman" w:hAnsi="Times New Roman" w:cs="Times New Roman"/>
            <w:b/>
            <w:sz w:val="28"/>
            <w:szCs w:val="28"/>
          </w:rPr>
          <w:t>регламента</w:t>
        </w:r>
      </w:hyperlink>
      <w:r w:rsidRPr="000204E9">
        <w:rPr>
          <w:rFonts w:ascii="Times New Roman" w:hAnsi="Times New Roman" w:cs="Times New Roman"/>
          <w:b/>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w:t>
      </w:r>
      <w:r w:rsidR="00DB63B7">
        <w:rPr>
          <w:rFonts w:ascii="Times New Roman" w:hAnsi="Times New Roman" w:cs="Times New Roman"/>
          <w:b/>
          <w:sz w:val="28"/>
          <w:szCs w:val="28"/>
        </w:rPr>
        <w:br/>
      </w:r>
      <w:r w:rsidRPr="000204E9">
        <w:rPr>
          <w:rFonts w:ascii="Times New Roman" w:hAnsi="Times New Roman" w:cs="Times New Roman"/>
          <w:b/>
          <w:sz w:val="28"/>
          <w:szCs w:val="28"/>
        </w:rPr>
        <w:t>"Безопа</w:t>
      </w:r>
      <w:r w:rsidR="00DB63B7">
        <w:rPr>
          <w:rFonts w:ascii="Times New Roman" w:hAnsi="Times New Roman" w:cs="Times New Roman"/>
          <w:b/>
          <w:sz w:val="28"/>
          <w:szCs w:val="28"/>
        </w:rPr>
        <w:t>сность лифтов"</w:t>
      </w:r>
      <w:r w:rsidR="008D498B" w:rsidRPr="00CD3461">
        <w:rPr>
          <w:rFonts w:ascii="Times New Roman" w:hAnsi="Times New Roman"/>
          <w:b/>
          <w:bCs/>
          <w:sz w:val="28"/>
          <w:szCs w:val="28"/>
        </w:rPr>
        <w:t>.</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806492" w:rsidRDefault="00806492" w:rsidP="00C02B54">
      <w:pPr>
        <w:spacing w:after="0" w:line="240" w:lineRule="auto"/>
        <w:rPr>
          <w:rFonts w:ascii="Times New Roman" w:hAnsi="Times New Roman" w:cs="Times New Roman"/>
          <w:b/>
          <w:sz w:val="28"/>
          <w:szCs w:val="28"/>
        </w:rPr>
      </w:pPr>
    </w:p>
    <w:p w:rsidR="00C02B54" w:rsidRPr="00CD3461" w:rsidRDefault="00C02B54" w:rsidP="00C02B54">
      <w:pPr>
        <w:spacing w:after="0" w:line="240" w:lineRule="auto"/>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00375C"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7"/>
          <w:szCs w:val="27"/>
        </w:rPr>
      </w:pPr>
      <w:r w:rsidRPr="0000375C">
        <w:rPr>
          <w:rFonts w:ascii="Times New Roman" w:hAnsi="Times New Roman" w:cs="Times New Roman"/>
          <w:b/>
          <w:sz w:val="27"/>
          <w:szCs w:val="27"/>
        </w:rPr>
        <w:lastRenderedPageBreak/>
        <w:t>Общие положения.</w:t>
      </w:r>
    </w:p>
    <w:p w:rsidR="00A3382A" w:rsidRPr="0000375C"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7"/>
          <w:szCs w:val="27"/>
        </w:rPr>
      </w:pPr>
      <w:r w:rsidRPr="0000375C">
        <w:rPr>
          <w:rFonts w:ascii="Times New Roman" w:hAnsi="Times New Roman"/>
          <w:b/>
          <w:bCs/>
          <w:sz w:val="27"/>
          <w:szCs w:val="27"/>
        </w:rPr>
        <w:t xml:space="preserve">Орган по ведению реестра квалифицированных подрядных организаций (далее – Орган по ведению РКП) </w:t>
      </w:r>
      <w:r w:rsidR="0074069F" w:rsidRPr="0000375C">
        <w:rPr>
          <w:rFonts w:ascii="Times New Roman" w:hAnsi="Times New Roman"/>
          <w:b/>
          <w:bCs/>
          <w:i/>
          <w:sz w:val="27"/>
          <w:szCs w:val="27"/>
        </w:rPr>
        <w:t>–</w:t>
      </w:r>
      <w:r w:rsidR="00AF3F17" w:rsidRPr="0000375C">
        <w:rPr>
          <w:rFonts w:ascii="Times New Roman" w:hAnsi="Times New Roman"/>
          <w:b/>
          <w:bCs/>
          <w:i/>
          <w:sz w:val="27"/>
          <w:szCs w:val="27"/>
        </w:rPr>
        <w:t xml:space="preserve"> </w:t>
      </w:r>
      <w:r w:rsidR="0074069F" w:rsidRPr="0000375C">
        <w:rPr>
          <w:rFonts w:ascii="Times New Roman" w:hAnsi="Times New Roman"/>
          <w:bCs/>
          <w:sz w:val="27"/>
          <w:szCs w:val="27"/>
        </w:rPr>
        <w:t>Министерство строительства</w:t>
      </w:r>
      <w:r w:rsidR="00585EF6">
        <w:rPr>
          <w:rFonts w:ascii="Times New Roman" w:hAnsi="Times New Roman"/>
          <w:bCs/>
          <w:sz w:val="27"/>
          <w:szCs w:val="27"/>
        </w:rPr>
        <w:t>, архитектуры и жилищно-коммунального хозяйства</w:t>
      </w:r>
      <w:r w:rsidR="0074069F" w:rsidRPr="0000375C">
        <w:rPr>
          <w:rFonts w:ascii="Times New Roman" w:hAnsi="Times New Roman"/>
          <w:bCs/>
          <w:sz w:val="27"/>
          <w:szCs w:val="27"/>
        </w:rPr>
        <w:t xml:space="preserve"> Республики Дагестан</w:t>
      </w:r>
      <w:r w:rsidR="00AF3F17" w:rsidRPr="0000375C">
        <w:rPr>
          <w:rFonts w:ascii="Times New Roman" w:hAnsi="Times New Roman"/>
          <w:bCs/>
          <w:sz w:val="27"/>
          <w:szCs w:val="27"/>
        </w:rPr>
        <w:t>.</w:t>
      </w:r>
    </w:p>
    <w:p w:rsidR="00AE7D4F" w:rsidRPr="004B2042" w:rsidRDefault="00AE7D4F" w:rsidP="004B2042">
      <w:pPr>
        <w:pStyle w:val="a4"/>
        <w:numPr>
          <w:ilvl w:val="0"/>
          <w:numId w:val="4"/>
        </w:numPr>
        <w:tabs>
          <w:tab w:val="left" w:pos="3060"/>
        </w:tabs>
        <w:spacing w:after="0" w:line="240" w:lineRule="auto"/>
        <w:ind w:left="426" w:right="2" w:hanging="426"/>
        <w:jc w:val="both"/>
        <w:rPr>
          <w:rFonts w:ascii="Times New Roman" w:hAnsi="Times New Roman"/>
          <w:b/>
          <w:bCs/>
          <w:sz w:val="27"/>
          <w:szCs w:val="27"/>
        </w:rPr>
      </w:pPr>
      <w:r w:rsidRPr="0000375C">
        <w:rPr>
          <w:rFonts w:ascii="Times New Roman" w:hAnsi="Times New Roman"/>
          <w:b/>
          <w:bCs/>
          <w:sz w:val="27"/>
          <w:szCs w:val="27"/>
        </w:rPr>
        <w:t>Дата и номер предварительного отбора</w:t>
      </w:r>
      <w:r w:rsidR="000B6D93" w:rsidRPr="0000375C">
        <w:rPr>
          <w:rFonts w:ascii="Times New Roman" w:hAnsi="Times New Roman"/>
          <w:b/>
          <w:bCs/>
          <w:sz w:val="27"/>
          <w:szCs w:val="27"/>
        </w:rPr>
        <w:t>:</w:t>
      </w:r>
      <w:r w:rsidR="00FE374A" w:rsidRPr="0000375C">
        <w:rPr>
          <w:rFonts w:ascii="Times New Roman" w:hAnsi="Times New Roman"/>
          <w:b/>
          <w:bCs/>
          <w:sz w:val="27"/>
          <w:szCs w:val="27"/>
        </w:rPr>
        <w:t xml:space="preserve"> </w:t>
      </w:r>
      <w:r w:rsidR="008F00EA" w:rsidRPr="0000375C">
        <w:rPr>
          <w:rFonts w:ascii="Times New Roman" w:hAnsi="Times New Roman"/>
          <w:bCs/>
          <w:sz w:val="27"/>
          <w:szCs w:val="27"/>
        </w:rPr>
        <w:t xml:space="preserve">№ </w:t>
      </w:r>
      <w:r w:rsidR="00D50888">
        <w:rPr>
          <w:rFonts w:ascii="Times New Roman" w:hAnsi="Times New Roman"/>
          <w:bCs/>
          <w:sz w:val="27"/>
          <w:szCs w:val="27"/>
        </w:rPr>
        <w:t>0</w:t>
      </w:r>
      <w:r w:rsidR="00585EF6">
        <w:rPr>
          <w:rFonts w:ascii="Times New Roman" w:hAnsi="Times New Roman"/>
          <w:bCs/>
          <w:sz w:val="27"/>
          <w:szCs w:val="27"/>
        </w:rPr>
        <w:t>1</w:t>
      </w:r>
      <w:r w:rsidR="00254ED0" w:rsidRPr="004B2042">
        <w:rPr>
          <w:rFonts w:ascii="Times New Roman" w:hAnsi="Times New Roman"/>
          <w:bCs/>
          <w:sz w:val="27"/>
          <w:szCs w:val="27"/>
        </w:rPr>
        <w:t>/</w:t>
      </w:r>
      <w:r w:rsidR="00D50888" w:rsidRPr="004B2042">
        <w:rPr>
          <w:rFonts w:ascii="Times New Roman" w:hAnsi="Times New Roman"/>
          <w:bCs/>
          <w:sz w:val="27"/>
          <w:szCs w:val="27"/>
        </w:rPr>
        <w:t>2</w:t>
      </w:r>
      <w:r w:rsidR="00585EF6">
        <w:rPr>
          <w:rFonts w:ascii="Times New Roman" w:hAnsi="Times New Roman"/>
          <w:bCs/>
          <w:sz w:val="27"/>
          <w:szCs w:val="27"/>
        </w:rPr>
        <w:t>2</w:t>
      </w:r>
      <w:r w:rsidR="00FE374A" w:rsidRPr="004B2042">
        <w:rPr>
          <w:rFonts w:ascii="Times New Roman" w:hAnsi="Times New Roman"/>
          <w:bCs/>
          <w:sz w:val="27"/>
          <w:szCs w:val="27"/>
        </w:rPr>
        <w:t xml:space="preserve">-е от </w:t>
      </w:r>
      <w:r w:rsidR="004B2042">
        <w:rPr>
          <w:rFonts w:ascii="Times New Roman" w:hAnsi="Times New Roman"/>
          <w:bCs/>
          <w:sz w:val="27"/>
          <w:szCs w:val="27"/>
        </w:rPr>
        <w:t>2</w:t>
      </w:r>
      <w:r w:rsidR="00585EF6">
        <w:rPr>
          <w:rFonts w:ascii="Times New Roman" w:hAnsi="Times New Roman"/>
          <w:bCs/>
          <w:sz w:val="27"/>
          <w:szCs w:val="27"/>
        </w:rPr>
        <w:t>4</w:t>
      </w:r>
      <w:r w:rsidR="00FE374A" w:rsidRPr="004B2042">
        <w:rPr>
          <w:rFonts w:ascii="Times New Roman" w:hAnsi="Times New Roman"/>
          <w:bCs/>
          <w:sz w:val="27"/>
          <w:szCs w:val="27"/>
        </w:rPr>
        <w:t>.</w:t>
      </w:r>
      <w:r w:rsidR="00585EF6">
        <w:rPr>
          <w:rFonts w:ascii="Times New Roman" w:hAnsi="Times New Roman"/>
          <w:bCs/>
          <w:sz w:val="27"/>
          <w:szCs w:val="27"/>
        </w:rPr>
        <w:t>03</w:t>
      </w:r>
      <w:r w:rsidR="00376F97" w:rsidRPr="004B2042">
        <w:rPr>
          <w:rFonts w:ascii="Times New Roman" w:hAnsi="Times New Roman"/>
          <w:bCs/>
          <w:sz w:val="27"/>
          <w:szCs w:val="27"/>
        </w:rPr>
        <w:t>.202</w:t>
      </w:r>
      <w:r w:rsidR="00585EF6">
        <w:rPr>
          <w:rFonts w:ascii="Times New Roman" w:hAnsi="Times New Roman"/>
          <w:bCs/>
          <w:sz w:val="27"/>
          <w:szCs w:val="27"/>
        </w:rPr>
        <w:t>2</w:t>
      </w:r>
      <w:r w:rsidR="00FE374A" w:rsidRPr="004B2042">
        <w:rPr>
          <w:rFonts w:ascii="Times New Roman" w:hAnsi="Times New Roman"/>
          <w:bCs/>
          <w:sz w:val="27"/>
          <w:szCs w:val="27"/>
        </w:rPr>
        <w:t xml:space="preserve"> года.</w:t>
      </w:r>
    </w:p>
    <w:p w:rsidR="002F7C06" w:rsidRPr="0000375C"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7"/>
          <w:szCs w:val="27"/>
        </w:rPr>
      </w:pPr>
      <w:r w:rsidRPr="0000375C">
        <w:rPr>
          <w:rFonts w:ascii="Times New Roman" w:hAnsi="Times New Roman"/>
          <w:b/>
          <w:bCs/>
          <w:sz w:val="27"/>
          <w:szCs w:val="27"/>
        </w:rPr>
        <w:t>Предмет предварительного отбора подрядных организаций</w:t>
      </w:r>
      <w:r w:rsidRPr="0000375C">
        <w:rPr>
          <w:rFonts w:ascii="Times New Roman" w:hAnsi="Times New Roman"/>
          <w:bCs/>
          <w:sz w:val="27"/>
          <w:szCs w:val="27"/>
        </w:rPr>
        <w:t>:</w:t>
      </w:r>
      <w:r w:rsidR="005F3978" w:rsidRPr="0000375C">
        <w:rPr>
          <w:rFonts w:ascii="Times New Roman" w:hAnsi="Times New Roman"/>
          <w:bCs/>
          <w:sz w:val="27"/>
          <w:szCs w:val="27"/>
        </w:rPr>
        <w:t xml:space="preserve"> </w:t>
      </w:r>
      <w:r w:rsidR="001F1721" w:rsidRPr="0000375C">
        <w:rPr>
          <w:rFonts w:ascii="Times New Roman" w:hAnsi="Times New Roman"/>
          <w:bCs/>
          <w:sz w:val="27"/>
          <w:szCs w:val="27"/>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EC11EC" w:rsidRPr="0000375C">
        <w:rPr>
          <w:rFonts w:ascii="Times New Roman" w:hAnsi="Times New Roman" w:cs="Times New Roman"/>
          <w:sz w:val="27"/>
          <w:szCs w:val="27"/>
        </w:rPr>
        <w:t xml:space="preserve">выполнение работ по оценке соответствия лифтов требованиям технического </w:t>
      </w:r>
      <w:hyperlink r:id="rId9" w:history="1">
        <w:r w:rsidR="00EC11EC" w:rsidRPr="0000375C">
          <w:rPr>
            <w:rFonts w:ascii="Times New Roman" w:hAnsi="Times New Roman" w:cs="Times New Roman"/>
            <w:sz w:val="27"/>
            <w:szCs w:val="27"/>
          </w:rPr>
          <w:t>регламента</w:t>
        </w:r>
      </w:hyperlink>
      <w:r w:rsidR="00EC11EC" w:rsidRPr="0000375C">
        <w:rPr>
          <w:rFonts w:ascii="Times New Roman" w:hAnsi="Times New Roman" w:cs="Times New Roman"/>
          <w:sz w:val="27"/>
          <w:szCs w:val="27"/>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00375C">
        <w:rPr>
          <w:rFonts w:ascii="Times New Roman" w:eastAsia="Times New Roman" w:hAnsi="Times New Roman" w:cs="Times New Roman"/>
          <w:bCs/>
          <w:sz w:val="27"/>
          <w:szCs w:val="27"/>
          <w:lang w:eastAsia="ru-RU"/>
        </w:rPr>
        <w:t>.</w:t>
      </w:r>
    </w:p>
    <w:p w:rsidR="005467A3" w:rsidRPr="0000375C"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7"/>
          <w:szCs w:val="27"/>
        </w:rPr>
      </w:pPr>
      <w:r w:rsidRPr="0000375C">
        <w:rPr>
          <w:rFonts w:ascii="Times New Roman" w:hAnsi="Times New Roman"/>
          <w:b/>
          <w:bCs/>
          <w:sz w:val="27"/>
          <w:szCs w:val="27"/>
        </w:rPr>
        <w:t>Информация об Органе по ведению РКП</w:t>
      </w:r>
      <w:r w:rsidRPr="0000375C">
        <w:rPr>
          <w:rFonts w:ascii="Times New Roman" w:hAnsi="Times New Roman"/>
          <w:bCs/>
          <w:sz w:val="27"/>
          <w:szCs w:val="27"/>
        </w:rPr>
        <w:t xml:space="preserve">: </w:t>
      </w:r>
    </w:p>
    <w:p w:rsidR="00A3382A" w:rsidRPr="0000375C" w:rsidRDefault="00A3382A" w:rsidP="00CB4325">
      <w:pPr>
        <w:pStyle w:val="afc"/>
        <w:ind w:left="426"/>
        <w:jc w:val="both"/>
        <w:rPr>
          <w:rFonts w:ascii="Times New Roman" w:hAnsi="Times New Roman" w:cs="Times New Roman"/>
          <w:sz w:val="27"/>
          <w:szCs w:val="27"/>
          <w:lang w:val="en-US"/>
        </w:rPr>
      </w:pPr>
      <w:r w:rsidRPr="0000375C">
        <w:rPr>
          <w:rFonts w:ascii="Times New Roman" w:hAnsi="Times New Roman" w:cs="Times New Roman"/>
          <w:bCs/>
          <w:sz w:val="27"/>
          <w:szCs w:val="27"/>
        </w:rPr>
        <w:t>адрес:</w:t>
      </w:r>
      <w:r w:rsidR="00266EEF" w:rsidRPr="0000375C">
        <w:rPr>
          <w:rFonts w:ascii="Times New Roman" w:hAnsi="Times New Roman" w:cs="Times New Roman"/>
          <w:bCs/>
          <w:sz w:val="27"/>
          <w:szCs w:val="27"/>
        </w:rPr>
        <w:t xml:space="preserve"> </w:t>
      </w:r>
      <w:r w:rsidR="0074069F" w:rsidRPr="0000375C">
        <w:rPr>
          <w:rFonts w:eastAsia="Calibri"/>
          <w:color w:val="000000"/>
          <w:spacing w:val="-6"/>
          <w:sz w:val="27"/>
          <w:szCs w:val="27"/>
        </w:rPr>
        <w:t>367015</w:t>
      </w:r>
      <w:r w:rsidR="00266EEF" w:rsidRPr="0000375C">
        <w:rPr>
          <w:rFonts w:ascii="Times New Roman" w:hAnsi="Times New Roman" w:cs="Times New Roman"/>
          <w:bCs/>
          <w:sz w:val="27"/>
          <w:szCs w:val="27"/>
        </w:rPr>
        <w:t>,</w:t>
      </w:r>
      <w:r w:rsidR="0074069F" w:rsidRPr="0000375C">
        <w:rPr>
          <w:rFonts w:ascii="Times New Roman" w:hAnsi="Times New Roman" w:cs="Times New Roman"/>
          <w:bCs/>
          <w:sz w:val="27"/>
          <w:szCs w:val="27"/>
        </w:rPr>
        <w:t xml:space="preserve"> Республика Дагестан, </w:t>
      </w:r>
      <w:r w:rsidR="00DE2FD2" w:rsidRPr="0000375C">
        <w:rPr>
          <w:rFonts w:ascii="Times New Roman" w:hAnsi="Times New Roman" w:cs="Times New Roman"/>
          <w:bCs/>
          <w:sz w:val="27"/>
          <w:szCs w:val="27"/>
        </w:rPr>
        <w:t>г</w:t>
      </w:r>
      <w:r w:rsidR="000515EF" w:rsidRPr="0000375C">
        <w:rPr>
          <w:rFonts w:ascii="Times New Roman" w:hAnsi="Times New Roman" w:cs="Times New Roman"/>
          <w:bCs/>
          <w:sz w:val="27"/>
          <w:szCs w:val="27"/>
        </w:rPr>
        <w:t>ор</w:t>
      </w:r>
      <w:r w:rsidR="00DE2FD2" w:rsidRPr="0000375C">
        <w:rPr>
          <w:rFonts w:ascii="Times New Roman" w:hAnsi="Times New Roman" w:cs="Times New Roman"/>
          <w:bCs/>
          <w:sz w:val="27"/>
          <w:szCs w:val="27"/>
        </w:rPr>
        <w:t xml:space="preserve">. </w:t>
      </w:r>
      <w:r w:rsidR="0074069F" w:rsidRPr="0000375C">
        <w:rPr>
          <w:rFonts w:ascii="Times New Roman" w:hAnsi="Times New Roman" w:cs="Times New Roman"/>
          <w:bCs/>
          <w:sz w:val="27"/>
          <w:szCs w:val="27"/>
        </w:rPr>
        <w:t>Махачкала</w:t>
      </w:r>
      <w:r w:rsidR="00DE2FD2" w:rsidRPr="0000375C">
        <w:rPr>
          <w:rFonts w:ascii="Times New Roman" w:hAnsi="Times New Roman" w:cs="Times New Roman"/>
          <w:bCs/>
          <w:sz w:val="27"/>
          <w:szCs w:val="27"/>
        </w:rPr>
        <w:t xml:space="preserve"> </w:t>
      </w:r>
      <w:r w:rsidR="0074069F" w:rsidRPr="0000375C">
        <w:rPr>
          <w:rFonts w:ascii="Times New Roman" w:hAnsi="Times New Roman" w:cs="Times New Roman"/>
          <w:bCs/>
          <w:sz w:val="27"/>
          <w:szCs w:val="27"/>
        </w:rPr>
        <w:t>пр</w:t>
      </w:r>
      <w:r w:rsidR="00DE2FD2" w:rsidRPr="0000375C">
        <w:rPr>
          <w:rFonts w:ascii="Times New Roman" w:hAnsi="Times New Roman" w:cs="Times New Roman"/>
          <w:bCs/>
          <w:sz w:val="27"/>
          <w:szCs w:val="27"/>
        </w:rPr>
        <w:t xml:space="preserve">. </w:t>
      </w:r>
      <w:r w:rsidR="0074069F" w:rsidRPr="0000375C">
        <w:rPr>
          <w:rFonts w:ascii="Times New Roman" w:hAnsi="Times New Roman" w:cs="Times New Roman"/>
          <w:bCs/>
          <w:sz w:val="27"/>
          <w:szCs w:val="27"/>
        </w:rPr>
        <w:t>И</w:t>
      </w:r>
      <w:r w:rsidR="0074069F" w:rsidRPr="0000375C">
        <w:rPr>
          <w:rFonts w:ascii="Times New Roman" w:hAnsi="Times New Roman" w:cs="Times New Roman"/>
          <w:bCs/>
          <w:sz w:val="27"/>
          <w:szCs w:val="27"/>
          <w:lang w:val="en-US"/>
        </w:rPr>
        <w:t xml:space="preserve">. </w:t>
      </w:r>
      <w:r w:rsidR="0074069F" w:rsidRPr="0000375C">
        <w:rPr>
          <w:rFonts w:ascii="Times New Roman" w:hAnsi="Times New Roman" w:cs="Times New Roman"/>
          <w:bCs/>
          <w:sz w:val="27"/>
          <w:szCs w:val="27"/>
        </w:rPr>
        <w:t>Шамиля</w:t>
      </w:r>
      <w:r w:rsidR="0074069F" w:rsidRPr="0000375C">
        <w:rPr>
          <w:rFonts w:ascii="Times New Roman" w:hAnsi="Times New Roman" w:cs="Times New Roman"/>
          <w:bCs/>
          <w:sz w:val="27"/>
          <w:szCs w:val="27"/>
          <w:lang w:val="en-US"/>
        </w:rPr>
        <w:t xml:space="preserve"> </w:t>
      </w:r>
      <w:r w:rsidR="0074069F" w:rsidRPr="0000375C">
        <w:rPr>
          <w:rFonts w:ascii="Times New Roman" w:hAnsi="Times New Roman" w:cs="Times New Roman"/>
          <w:bCs/>
          <w:sz w:val="27"/>
          <w:szCs w:val="27"/>
        </w:rPr>
        <w:t>д</w:t>
      </w:r>
      <w:r w:rsidR="0074069F" w:rsidRPr="0000375C">
        <w:rPr>
          <w:rFonts w:ascii="Times New Roman" w:hAnsi="Times New Roman" w:cs="Times New Roman"/>
          <w:bCs/>
          <w:sz w:val="27"/>
          <w:szCs w:val="27"/>
          <w:lang w:val="en-US"/>
        </w:rPr>
        <w:t>. 58</w:t>
      </w:r>
    </w:p>
    <w:p w:rsidR="00A3382A" w:rsidRPr="0000375C" w:rsidRDefault="00A3382A" w:rsidP="00CB4325">
      <w:pPr>
        <w:pStyle w:val="afc"/>
        <w:ind w:left="426"/>
        <w:jc w:val="both"/>
        <w:rPr>
          <w:rFonts w:ascii="Times New Roman" w:hAnsi="Times New Roman" w:cs="Times New Roman"/>
          <w:sz w:val="27"/>
          <w:szCs w:val="27"/>
          <w:lang w:val="en-US"/>
        </w:rPr>
      </w:pPr>
      <w:r w:rsidRPr="0000375C">
        <w:rPr>
          <w:rFonts w:ascii="Times New Roman" w:hAnsi="Times New Roman" w:cs="Times New Roman"/>
          <w:bCs/>
          <w:sz w:val="27"/>
          <w:szCs w:val="27"/>
          <w:lang w:val="en-US"/>
        </w:rPr>
        <w:t xml:space="preserve">e-mail: </w:t>
      </w:r>
      <w:hyperlink r:id="rId10" w:history="1">
        <w:r w:rsidR="00A550D5" w:rsidRPr="0000375C">
          <w:rPr>
            <w:rStyle w:val="a5"/>
            <w:rFonts w:ascii="Times New Roman" w:eastAsia="Times New Roman" w:hAnsi="Times New Roman" w:cs="Times New Roman"/>
            <w:bCs/>
            <w:color w:val="000000"/>
            <w:spacing w:val="-6"/>
            <w:sz w:val="27"/>
            <w:szCs w:val="27"/>
            <w:lang w:val="en-US" w:eastAsia="ru-RU"/>
          </w:rPr>
          <w:t>msgkhrd@mail.ru</w:t>
        </w:r>
      </w:hyperlink>
    </w:p>
    <w:p w:rsidR="00A3382A" w:rsidRPr="0000375C" w:rsidRDefault="00A3382A" w:rsidP="00CB4325">
      <w:pPr>
        <w:pStyle w:val="afc"/>
        <w:ind w:left="426"/>
        <w:jc w:val="both"/>
        <w:rPr>
          <w:rFonts w:ascii="Times New Roman" w:eastAsia="Times New Roman" w:hAnsi="Times New Roman" w:cs="Times New Roman"/>
          <w:sz w:val="27"/>
          <w:szCs w:val="27"/>
          <w:lang w:val="en-US" w:eastAsia="ru-RU"/>
        </w:rPr>
      </w:pPr>
      <w:r w:rsidRPr="0000375C">
        <w:rPr>
          <w:rFonts w:ascii="Times New Roman" w:eastAsia="Times New Roman" w:hAnsi="Times New Roman" w:cs="Times New Roman"/>
          <w:sz w:val="27"/>
          <w:szCs w:val="27"/>
          <w:lang w:eastAsia="ru-RU"/>
        </w:rPr>
        <w:t>телефон</w:t>
      </w:r>
      <w:r w:rsidRPr="0000375C">
        <w:rPr>
          <w:rFonts w:ascii="Times New Roman" w:eastAsia="Times New Roman" w:hAnsi="Times New Roman" w:cs="Times New Roman"/>
          <w:sz w:val="27"/>
          <w:szCs w:val="27"/>
          <w:lang w:val="en-US" w:eastAsia="ru-RU"/>
        </w:rPr>
        <w:t>:</w:t>
      </w:r>
      <w:r w:rsidR="00DE2FD2" w:rsidRPr="0000375C">
        <w:rPr>
          <w:rFonts w:ascii="Times New Roman" w:eastAsia="Times New Roman" w:hAnsi="Times New Roman" w:cs="Times New Roman"/>
          <w:sz w:val="27"/>
          <w:szCs w:val="27"/>
          <w:lang w:val="en-US" w:eastAsia="ru-RU"/>
        </w:rPr>
        <w:t xml:space="preserve"> +7(</w:t>
      </w:r>
      <w:r w:rsidR="00ED1046" w:rsidRPr="0000375C">
        <w:rPr>
          <w:rFonts w:ascii="Times New Roman" w:eastAsia="Times New Roman" w:hAnsi="Times New Roman" w:cs="Times New Roman"/>
          <w:sz w:val="27"/>
          <w:szCs w:val="27"/>
          <w:lang w:val="en-US" w:eastAsia="ru-RU"/>
        </w:rPr>
        <w:t>8722</w:t>
      </w:r>
      <w:r w:rsidR="00DE2FD2" w:rsidRPr="0000375C">
        <w:rPr>
          <w:rFonts w:ascii="Times New Roman" w:eastAsia="Times New Roman" w:hAnsi="Times New Roman" w:cs="Times New Roman"/>
          <w:sz w:val="27"/>
          <w:szCs w:val="27"/>
          <w:lang w:val="en-US" w:eastAsia="ru-RU"/>
        </w:rPr>
        <w:t>)</w:t>
      </w:r>
      <w:r w:rsidR="00ED1046" w:rsidRPr="0000375C">
        <w:rPr>
          <w:rFonts w:ascii="Times New Roman" w:eastAsia="Times New Roman" w:hAnsi="Times New Roman" w:cs="Times New Roman"/>
          <w:sz w:val="27"/>
          <w:szCs w:val="27"/>
          <w:lang w:val="en-US" w:eastAsia="ru-RU"/>
        </w:rPr>
        <w:t>62</w:t>
      </w:r>
      <w:r w:rsidR="001A64DD" w:rsidRPr="0000375C">
        <w:rPr>
          <w:rFonts w:ascii="Times New Roman" w:eastAsia="Times New Roman" w:hAnsi="Times New Roman" w:cs="Times New Roman"/>
          <w:sz w:val="27"/>
          <w:szCs w:val="27"/>
          <w:lang w:val="en-US" w:eastAsia="ru-RU"/>
        </w:rPr>
        <w:t>-</w:t>
      </w:r>
      <w:r w:rsidR="00ED1046" w:rsidRPr="0000375C">
        <w:rPr>
          <w:rFonts w:ascii="Times New Roman" w:eastAsia="Times New Roman" w:hAnsi="Times New Roman" w:cs="Times New Roman"/>
          <w:sz w:val="27"/>
          <w:szCs w:val="27"/>
          <w:lang w:val="en-US" w:eastAsia="ru-RU"/>
        </w:rPr>
        <w:t>34</w:t>
      </w:r>
      <w:r w:rsidR="001A64DD" w:rsidRPr="0000375C">
        <w:rPr>
          <w:rFonts w:ascii="Times New Roman" w:eastAsia="Times New Roman" w:hAnsi="Times New Roman" w:cs="Times New Roman"/>
          <w:sz w:val="27"/>
          <w:szCs w:val="27"/>
          <w:lang w:val="en-US" w:eastAsia="ru-RU"/>
        </w:rPr>
        <w:t>-</w:t>
      </w:r>
      <w:r w:rsidR="00ED1046" w:rsidRPr="0000375C">
        <w:rPr>
          <w:rFonts w:ascii="Times New Roman" w:eastAsia="Times New Roman" w:hAnsi="Times New Roman" w:cs="Times New Roman"/>
          <w:sz w:val="27"/>
          <w:szCs w:val="27"/>
          <w:lang w:val="en-US" w:eastAsia="ru-RU"/>
        </w:rPr>
        <w:t>69</w:t>
      </w:r>
    </w:p>
    <w:p w:rsidR="00796484" w:rsidRPr="0000375C" w:rsidRDefault="00A3382A" w:rsidP="009F58C2">
      <w:pPr>
        <w:pStyle w:val="afc"/>
        <w:ind w:left="426"/>
        <w:jc w:val="both"/>
        <w:rPr>
          <w:rFonts w:ascii="Times New Roman" w:hAnsi="Times New Roman" w:cs="Times New Roman"/>
          <w:bCs/>
          <w:sz w:val="27"/>
          <w:szCs w:val="27"/>
        </w:rPr>
      </w:pPr>
      <w:r w:rsidRPr="0000375C">
        <w:rPr>
          <w:rFonts w:ascii="Times New Roman" w:hAnsi="Times New Roman" w:cs="Times New Roman"/>
          <w:bCs/>
          <w:sz w:val="27"/>
          <w:szCs w:val="27"/>
        </w:rPr>
        <w:t>официальный сайт</w:t>
      </w:r>
      <w:r w:rsidR="00525527" w:rsidRPr="0000375C">
        <w:rPr>
          <w:rFonts w:ascii="Times New Roman" w:hAnsi="Times New Roman" w:cs="Times New Roman"/>
          <w:bCs/>
          <w:sz w:val="27"/>
          <w:szCs w:val="27"/>
        </w:rPr>
        <w:t>, на котором размещена документация о проведении предварительного отбора</w:t>
      </w:r>
      <w:r w:rsidRPr="0000375C">
        <w:rPr>
          <w:rFonts w:ascii="Times New Roman" w:hAnsi="Times New Roman" w:cs="Times New Roman"/>
          <w:bCs/>
          <w:sz w:val="27"/>
          <w:szCs w:val="27"/>
        </w:rPr>
        <w:t xml:space="preserve">: </w:t>
      </w:r>
      <w:hyperlink r:id="rId11" w:history="1">
        <w:r w:rsidR="00ED1046" w:rsidRPr="0000375C">
          <w:rPr>
            <w:rStyle w:val="a5"/>
            <w:rFonts w:ascii="Times New Roman" w:eastAsia="Times New Roman" w:hAnsi="Times New Roman" w:cs="Times New Roman"/>
            <w:bCs/>
            <w:color w:val="000000"/>
            <w:spacing w:val="-6"/>
            <w:sz w:val="27"/>
            <w:szCs w:val="27"/>
            <w:lang w:val="en-US" w:eastAsia="ru-RU"/>
          </w:rPr>
          <w:t>http</w:t>
        </w:r>
        <w:r w:rsidR="00ED1046" w:rsidRPr="0000375C">
          <w:rPr>
            <w:rStyle w:val="a5"/>
            <w:rFonts w:ascii="Times New Roman" w:eastAsia="Times New Roman" w:hAnsi="Times New Roman" w:cs="Times New Roman"/>
            <w:bCs/>
            <w:color w:val="000000"/>
            <w:spacing w:val="-6"/>
            <w:sz w:val="27"/>
            <w:szCs w:val="27"/>
            <w:lang w:eastAsia="ru-RU"/>
          </w:rPr>
          <w:t>://</w:t>
        </w:r>
        <w:r w:rsidR="00ED1046" w:rsidRPr="0000375C">
          <w:rPr>
            <w:rStyle w:val="a5"/>
            <w:rFonts w:ascii="Times New Roman" w:eastAsia="Times New Roman" w:hAnsi="Times New Roman" w:cs="Times New Roman"/>
            <w:bCs/>
            <w:color w:val="000000"/>
            <w:spacing w:val="-6"/>
            <w:sz w:val="27"/>
            <w:szCs w:val="27"/>
            <w:lang w:val="en-US" w:eastAsia="ru-RU"/>
          </w:rPr>
          <w:t>minstroy</w:t>
        </w:r>
        <w:r w:rsidR="00ED1046" w:rsidRPr="0000375C">
          <w:rPr>
            <w:rStyle w:val="a5"/>
            <w:rFonts w:ascii="Times New Roman" w:eastAsia="Times New Roman" w:hAnsi="Times New Roman" w:cs="Times New Roman"/>
            <w:bCs/>
            <w:color w:val="000000"/>
            <w:spacing w:val="-6"/>
            <w:sz w:val="27"/>
            <w:szCs w:val="27"/>
            <w:lang w:eastAsia="ru-RU"/>
          </w:rPr>
          <w:t>.</w:t>
        </w:r>
        <w:r w:rsidR="00ED1046" w:rsidRPr="0000375C">
          <w:rPr>
            <w:rStyle w:val="a5"/>
            <w:rFonts w:ascii="Times New Roman" w:eastAsia="Times New Roman" w:hAnsi="Times New Roman" w:cs="Times New Roman"/>
            <w:bCs/>
            <w:color w:val="000000"/>
            <w:spacing w:val="-6"/>
            <w:sz w:val="27"/>
            <w:szCs w:val="27"/>
            <w:lang w:val="en-US" w:eastAsia="ru-RU"/>
          </w:rPr>
          <w:t>e</w:t>
        </w:r>
        <w:r w:rsidR="00ED1046" w:rsidRPr="0000375C">
          <w:rPr>
            <w:rStyle w:val="a5"/>
            <w:rFonts w:ascii="Times New Roman" w:eastAsia="Times New Roman" w:hAnsi="Times New Roman" w:cs="Times New Roman"/>
            <w:bCs/>
            <w:color w:val="000000"/>
            <w:spacing w:val="-6"/>
            <w:sz w:val="27"/>
            <w:szCs w:val="27"/>
            <w:lang w:eastAsia="ru-RU"/>
          </w:rPr>
          <w:t>-</w:t>
        </w:r>
        <w:r w:rsidR="00ED1046" w:rsidRPr="0000375C">
          <w:rPr>
            <w:rStyle w:val="a5"/>
            <w:rFonts w:ascii="Times New Roman" w:eastAsia="Times New Roman" w:hAnsi="Times New Roman" w:cs="Times New Roman"/>
            <w:bCs/>
            <w:color w:val="000000"/>
            <w:spacing w:val="-6"/>
            <w:sz w:val="27"/>
            <w:szCs w:val="27"/>
            <w:lang w:val="en-US" w:eastAsia="ru-RU"/>
          </w:rPr>
          <w:t>dag</w:t>
        </w:r>
        <w:r w:rsidR="00ED1046" w:rsidRPr="0000375C">
          <w:rPr>
            <w:rStyle w:val="a5"/>
            <w:rFonts w:ascii="Times New Roman" w:eastAsia="Times New Roman" w:hAnsi="Times New Roman" w:cs="Times New Roman"/>
            <w:bCs/>
            <w:color w:val="000000"/>
            <w:spacing w:val="-6"/>
            <w:sz w:val="27"/>
            <w:szCs w:val="27"/>
            <w:lang w:eastAsia="ru-RU"/>
          </w:rPr>
          <w:t>.</w:t>
        </w:r>
        <w:r w:rsidR="00ED1046" w:rsidRPr="0000375C">
          <w:rPr>
            <w:rStyle w:val="a5"/>
            <w:rFonts w:ascii="Times New Roman" w:eastAsia="Times New Roman" w:hAnsi="Times New Roman" w:cs="Times New Roman"/>
            <w:bCs/>
            <w:color w:val="000000"/>
            <w:spacing w:val="-6"/>
            <w:sz w:val="27"/>
            <w:szCs w:val="27"/>
            <w:lang w:val="en-US" w:eastAsia="ru-RU"/>
          </w:rPr>
          <w:t>ru</w:t>
        </w:r>
      </w:hyperlink>
    </w:p>
    <w:p w:rsidR="001A64DD" w:rsidRPr="0000375C"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7"/>
          <w:szCs w:val="27"/>
        </w:rPr>
      </w:pPr>
      <w:r w:rsidRPr="0000375C">
        <w:rPr>
          <w:rFonts w:ascii="Times New Roman" w:hAnsi="Times New Roman"/>
          <w:b/>
          <w:bCs/>
          <w:sz w:val="27"/>
          <w:szCs w:val="27"/>
        </w:rPr>
        <w:t>Информация о Заказчике:</w:t>
      </w:r>
    </w:p>
    <w:p w:rsidR="001A64DD" w:rsidRPr="0000375C" w:rsidRDefault="001A64DD" w:rsidP="00CB4325">
      <w:pPr>
        <w:pStyle w:val="afc"/>
        <w:ind w:left="426"/>
        <w:jc w:val="both"/>
        <w:rPr>
          <w:rFonts w:ascii="Times New Roman" w:hAnsi="Times New Roman" w:cs="Times New Roman"/>
          <w:sz w:val="27"/>
          <w:szCs w:val="27"/>
        </w:rPr>
      </w:pPr>
      <w:r w:rsidRPr="0000375C">
        <w:rPr>
          <w:rFonts w:ascii="Times New Roman" w:hAnsi="Times New Roman" w:cs="Times New Roman"/>
          <w:sz w:val="27"/>
          <w:szCs w:val="27"/>
        </w:rPr>
        <w:t>Некоммерческая организация «</w:t>
      </w:r>
      <w:r w:rsidR="00ED1046" w:rsidRPr="0000375C">
        <w:rPr>
          <w:rFonts w:ascii="Times New Roman" w:hAnsi="Times New Roman" w:cs="Times New Roman"/>
          <w:sz w:val="27"/>
          <w:szCs w:val="27"/>
        </w:rPr>
        <w:t>Дагестанский некоммерческий фонд капитального ремонта общего имущества в многоквартирных домах</w:t>
      </w:r>
      <w:r w:rsidRPr="0000375C">
        <w:rPr>
          <w:rFonts w:ascii="Times New Roman" w:hAnsi="Times New Roman" w:cs="Times New Roman"/>
          <w:sz w:val="27"/>
          <w:szCs w:val="27"/>
        </w:rPr>
        <w:t>»</w:t>
      </w:r>
    </w:p>
    <w:p w:rsidR="001A64DD" w:rsidRPr="00C2447A" w:rsidRDefault="001A64DD" w:rsidP="00CB4325">
      <w:pPr>
        <w:pStyle w:val="afc"/>
        <w:ind w:left="426"/>
        <w:jc w:val="both"/>
        <w:rPr>
          <w:rFonts w:ascii="Times New Roman" w:hAnsi="Times New Roman" w:cs="Times New Roman"/>
          <w:sz w:val="27"/>
          <w:szCs w:val="27"/>
        </w:rPr>
      </w:pPr>
      <w:r w:rsidRPr="0000375C">
        <w:rPr>
          <w:rFonts w:ascii="Times New Roman" w:hAnsi="Times New Roman" w:cs="Times New Roman"/>
          <w:sz w:val="27"/>
          <w:szCs w:val="27"/>
        </w:rPr>
        <w:t xml:space="preserve">адрес: </w:t>
      </w:r>
      <w:r w:rsidR="00ED1046" w:rsidRPr="0000375C">
        <w:rPr>
          <w:rFonts w:ascii="Times New Roman" w:hAnsi="Times New Roman" w:cs="Times New Roman"/>
          <w:sz w:val="27"/>
          <w:szCs w:val="27"/>
        </w:rPr>
        <w:t>367027</w:t>
      </w:r>
      <w:r w:rsidRPr="0000375C">
        <w:rPr>
          <w:rFonts w:ascii="Times New Roman" w:hAnsi="Times New Roman" w:cs="Times New Roman"/>
          <w:sz w:val="27"/>
          <w:szCs w:val="27"/>
        </w:rPr>
        <w:t xml:space="preserve">, </w:t>
      </w:r>
      <w:r w:rsidR="00ED1046" w:rsidRPr="0000375C">
        <w:rPr>
          <w:rFonts w:ascii="Times New Roman" w:hAnsi="Times New Roman" w:cs="Times New Roman"/>
          <w:sz w:val="27"/>
          <w:szCs w:val="27"/>
        </w:rPr>
        <w:t>Республика Дагестан</w:t>
      </w:r>
      <w:r w:rsidRPr="0000375C">
        <w:rPr>
          <w:rFonts w:ascii="Times New Roman" w:hAnsi="Times New Roman" w:cs="Times New Roman"/>
          <w:sz w:val="27"/>
          <w:szCs w:val="27"/>
        </w:rPr>
        <w:t>, г</w:t>
      </w:r>
      <w:r w:rsidR="000515EF" w:rsidRPr="0000375C">
        <w:rPr>
          <w:rFonts w:ascii="Times New Roman" w:hAnsi="Times New Roman" w:cs="Times New Roman"/>
          <w:sz w:val="27"/>
          <w:szCs w:val="27"/>
        </w:rPr>
        <w:t>ор</w:t>
      </w:r>
      <w:r w:rsidRPr="0000375C">
        <w:rPr>
          <w:rFonts w:ascii="Times New Roman" w:hAnsi="Times New Roman" w:cs="Times New Roman"/>
          <w:sz w:val="27"/>
          <w:szCs w:val="27"/>
        </w:rPr>
        <w:t>. </w:t>
      </w:r>
      <w:r w:rsidR="00ED1046" w:rsidRPr="0000375C">
        <w:rPr>
          <w:rFonts w:ascii="Times New Roman" w:hAnsi="Times New Roman" w:cs="Times New Roman"/>
          <w:sz w:val="27"/>
          <w:szCs w:val="27"/>
        </w:rPr>
        <w:t>Махачкала</w:t>
      </w:r>
      <w:r w:rsidRPr="0000375C">
        <w:rPr>
          <w:rFonts w:ascii="Times New Roman" w:hAnsi="Times New Roman" w:cs="Times New Roman"/>
          <w:sz w:val="27"/>
          <w:szCs w:val="27"/>
        </w:rPr>
        <w:t xml:space="preserve">, ул. </w:t>
      </w:r>
      <w:r w:rsidR="009D1982">
        <w:rPr>
          <w:rFonts w:ascii="Times New Roman" w:hAnsi="Times New Roman" w:cs="Times New Roman"/>
          <w:sz w:val="28"/>
          <w:szCs w:val="28"/>
        </w:rPr>
        <w:t>Ярагского</w:t>
      </w:r>
      <w:r w:rsidR="009D1982" w:rsidRPr="00606E3D">
        <w:rPr>
          <w:rFonts w:ascii="Times New Roman" w:hAnsi="Times New Roman" w:cs="Times New Roman"/>
          <w:sz w:val="28"/>
          <w:szCs w:val="28"/>
        </w:rPr>
        <w:t xml:space="preserve">, </w:t>
      </w:r>
      <w:r w:rsidR="009D1982">
        <w:rPr>
          <w:rFonts w:ascii="Times New Roman" w:hAnsi="Times New Roman" w:cs="Times New Roman"/>
          <w:sz w:val="28"/>
          <w:szCs w:val="28"/>
        </w:rPr>
        <w:t>д</w:t>
      </w:r>
      <w:r w:rsidR="009D1982" w:rsidRPr="00606E3D">
        <w:rPr>
          <w:rFonts w:ascii="Times New Roman" w:hAnsi="Times New Roman" w:cs="Times New Roman"/>
          <w:sz w:val="28"/>
          <w:szCs w:val="28"/>
        </w:rPr>
        <w:t xml:space="preserve">. </w:t>
      </w:r>
      <w:r w:rsidR="009D1982">
        <w:rPr>
          <w:rFonts w:ascii="Times New Roman" w:hAnsi="Times New Roman" w:cs="Times New Roman"/>
          <w:sz w:val="28"/>
          <w:szCs w:val="28"/>
        </w:rPr>
        <w:t>124</w:t>
      </w:r>
      <w:bookmarkStart w:id="0" w:name="_GoBack"/>
      <w:bookmarkEnd w:id="0"/>
    </w:p>
    <w:p w:rsidR="001A64DD" w:rsidRPr="000834CF" w:rsidRDefault="001A64DD" w:rsidP="00CB4325">
      <w:pPr>
        <w:pStyle w:val="afc"/>
        <w:ind w:left="426"/>
        <w:jc w:val="both"/>
        <w:rPr>
          <w:rStyle w:val="a5"/>
          <w:rFonts w:ascii="Times New Roman" w:hAnsi="Times New Roman" w:cs="Times New Roman"/>
          <w:color w:val="auto"/>
          <w:sz w:val="27"/>
          <w:szCs w:val="27"/>
          <w:lang w:val="en-US"/>
        </w:rPr>
      </w:pPr>
      <w:r w:rsidRPr="0000375C">
        <w:rPr>
          <w:rFonts w:ascii="Times New Roman" w:hAnsi="Times New Roman" w:cs="Times New Roman"/>
          <w:bCs/>
          <w:sz w:val="27"/>
          <w:szCs w:val="27"/>
          <w:lang w:val="en-US"/>
        </w:rPr>
        <w:t>e</w:t>
      </w:r>
      <w:r w:rsidRPr="000834CF">
        <w:rPr>
          <w:rFonts w:ascii="Times New Roman" w:hAnsi="Times New Roman" w:cs="Times New Roman"/>
          <w:bCs/>
          <w:sz w:val="27"/>
          <w:szCs w:val="27"/>
          <w:lang w:val="en-US"/>
        </w:rPr>
        <w:t>-</w:t>
      </w:r>
      <w:r w:rsidRPr="0000375C">
        <w:rPr>
          <w:rFonts w:ascii="Times New Roman" w:hAnsi="Times New Roman" w:cs="Times New Roman"/>
          <w:bCs/>
          <w:sz w:val="27"/>
          <w:szCs w:val="27"/>
          <w:lang w:val="en-US"/>
        </w:rPr>
        <w:t>mail</w:t>
      </w:r>
      <w:r w:rsidRPr="000834CF">
        <w:rPr>
          <w:rFonts w:ascii="Times New Roman" w:hAnsi="Times New Roman" w:cs="Times New Roman"/>
          <w:bCs/>
          <w:sz w:val="27"/>
          <w:szCs w:val="27"/>
          <w:lang w:val="en-US"/>
        </w:rPr>
        <w:t xml:space="preserve">: </w:t>
      </w:r>
      <w:hyperlink r:id="rId12" w:history="1">
        <w:r w:rsidR="00A550D5" w:rsidRPr="0000375C">
          <w:rPr>
            <w:rStyle w:val="a5"/>
            <w:rFonts w:ascii="Times New Roman" w:hAnsi="Times New Roman" w:cs="Times New Roman"/>
            <w:color w:val="auto"/>
            <w:sz w:val="27"/>
            <w:szCs w:val="27"/>
            <w:shd w:val="clear" w:color="auto" w:fill="FFFFFF"/>
            <w:lang w:val="en-US"/>
          </w:rPr>
          <w:t>info</w:t>
        </w:r>
        <w:r w:rsidR="00A550D5" w:rsidRPr="000834CF">
          <w:rPr>
            <w:rStyle w:val="a5"/>
            <w:rFonts w:ascii="Times New Roman" w:hAnsi="Times New Roman" w:cs="Times New Roman"/>
            <w:color w:val="auto"/>
            <w:sz w:val="27"/>
            <w:szCs w:val="27"/>
            <w:shd w:val="clear" w:color="auto" w:fill="FFFFFF"/>
            <w:lang w:val="en-US"/>
          </w:rPr>
          <w:t>@</w:t>
        </w:r>
        <w:r w:rsidR="00A550D5" w:rsidRPr="0000375C">
          <w:rPr>
            <w:rStyle w:val="a5"/>
            <w:rFonts w:ascii="Times New Roman" w:hAnsi="Times New Roman" w:cs="Times New Roman"/>
            <w:color w:val="auto"/>
            <w:sz w:val="27"/>
            <w:szCs w:val="27"/>
            <w:shd w:val="clear" w:color="auto" w:fill="FFFFFF"/>
            <w:lang w:val="en-US"/>
          </w:rPr>
          <w:t>dagfkr</w:t>
        </w:r>
        <w:r w:rsidR="00A550D5" w:rsidRPr="000834CF">
          <w:rPr>
            <w:rStyle w:val="a5"/>
            <w:rFonts w:ascii="Times New Roman" w:hAnsi="Times New Roman" w:cs="Times New Roman"/>
            <w:color w:val="auto"/>
            <w:sz w:val="27"/>
            <w:szCs w:val="27"/>
            <w:shd w:val="clear" w:color="auto" w:fill="FFFFFF"/>
            <w:lang w:val="en-US"/>
          </w:rPr>
          <w:t>.</w:t>
        </w:r>
        <w:r w:rsidR="00A550D5" w:rsidRPr="0000375C">
          <w:rPr>
            <w:rStyle w:val="a5"/>
            <w:rFonts w:ascii="Times New Roman" w:hAnsi="Times New Roman" w:cs="Times New Roman"/>
            <w:color w:val="auto"/>
            <w:sz w:val="27"/>
            <w:szCs w:val="27"/>
            <w:shd w:val="clear" w:color="auto" w:fill="FFFFFF"/>
            <w:lang w:val="en-US"/>
          </w:rPr>
          <w:t>ru</w:t>
        </w:r>
      </w:hyperlink>
      <w:hyperlink r:id="rId13" w:history="1"/>
    </w:p>
    <w:p w:rsidR="001A64DD" w:rsidRPr="0000375C" w:rsidRDefault="001A64DD" w:rsidP="00CB4325">
      <w:pPr>
        <w:pStyle w:val="afc"/>
        <w:ind w:left="426"/>
        <w:jc w:val="both"/>
        <w:rPr>
          <w:rStyle w:val="a5"/>
          <w:rFonts w:ascii="Times New Roman" w:hAnsi="Times New Roman" w:cs="Times New Roman"/>
          <w:color w:val="auto"/>
          <w:sz w:val="27"/>
          <w:szCs w:val="27"/>
          <w:u w:val="none"/>
        </w:rPr>
      </w:pPr>
      <w:r w:rsidRPr="0000375C">
        <w:rPr>
          <w:rStyle w:val="a5"/>
          <w:rFonts w:ascii="Times New Roman" w:hAnsi="Times New Roman" w:cs="Times New Roman"/>
          <w:color w:val="auto"/>
          <w:sz w:val="27"/>
          <w:szCs w:val="27"/>
          <w:u w:val="none"/>
        </w:rPr>
        <w:t>телефон: (</w:t>
      </w:r>
      <w:r w:rsidR="00A550D5" w:rsidRPr="0000375C">
        <w:rPr>
          <w:rStyle w:val="a5"/>
          <w:rFonts w:ascii="Times New Roman" w:hAnsi="Times New Roman" w:cs="Times New Roman"/>
          <w:color w:val="auto"/>
          <w:sz w:val="27"/>
          <w:szCs w:val="27"/>
          <w:u w:val="none"/>
        </w:rPr>
        <w:t>8722</w:t>
      </w:r>
      <w:r w:rsidRPr="0000375C">
        <w:rPr>
          <w:rStyle w:val="a5"/>
          <w:rFonts w:ascii="Times New Roman" w:hAnsi="Times New Roman" w:cs="Times New Roman"/>
          <w:color w:val="auto"/>
          <w:sz w:val="27"/>
          <w:szCs w:val="27"/>
          <w:u w:val="none"/>
        </w:rPr>
        <w:t xml:space="preserve">) </w:t>
      </w:r>
      <w:r w:rsidR="00A550D5" w:rsidRPr="0000375C">
        <w:rPr>
          <w:rStyle w:val="a5"/>
          <w:rFonts w:ascii="Times New Roman" w:hAnsi="Times New Roman" w:cs="Times New Roman"/>
          <w:color w:val="auto"/>
          <w:sz w:val="27"/>
          <w:szCs w:val="27"/>
          <w:u w:val="none"/>
        </w:rPr>
        <w:t>55-53-11</w:t>
      </w:r>
      <w:r w:rsidRPr="0000375C">
        <w:rPr>
          <w:rStyle w:val="a5"/>
          <w:rFonts w:ascii="Times New Roman" w:hAnsi="Times New Roman" w:cs="Times New Roman"/>
          <w:color w:val="auto"/>
          <w:sz w:val="27"/>
          <w:szCs w:val="27"/>
          <w:u w:val="none"/>
        </w:rPr>
        <w:t>, (</w:t>
      </w:r>
      <w:r w:rsidR="00A550D5" w:rsidRPr="0000375C">
        <w:rPr>
          <w:rStyle w:val="a5"/>
          <w:rFonts w:ascii="Times New Roman" w:hAnsi="Times New Roman" w:cs="Times New Roman"/>
          <w:color w:val="auto"/>
          <w:sz w:val="27"/>
          <w:szCs w:val="27"/>
          <w:u w:val="none"/>
        </w:rPr>
        <w:t>8722) 55</w:t>
      </w:r>
      <w:r w:rsidRPr="0000375C">
        <w:rPr>
          <w:rStyle w:val="a5"/>
          <w:rFonts w:ascii="Times New Roman" w:hAnsi="Times New Roman" w:cs="Times New Roman"/>
          <w:color w:val="auto"/>
          <w:sz w:val="27"/>
          <w:szCs w:val="27"/>
          <w:u w:val="none"/>
        </w:rPr>
        <w:t>-</w:t>
      </w:r>
      <w:r w:rsidR="00A550D5" w:rsidRPr="0000375C">
        <w:rPr>
          <w:rStyle w:val="a5"/>
          <w:rFonts w:ascii="Times New Roman" w:hAnsi="Times New Roman" w:cs="Times New Roman"/>
          <w:color w:val="auto"/>
          <w:sz w:val="27"/>
          <w:szCs w:val="27"/>
          <w:u w:val="none"/>
        </w:rPr>
        <w:t>53-20</w:t>
      </w:r>
    </w:p>
    <w:p w:rsidR="00796484" w:rsidRPr="0000375C" w:rsidRDefault="001A64DD" w:rsidP="009F58C2">
      <w:pPr>
        <w:pStyle w:val="afc"/>
        <w:ind w:left="426"/>
        <w:jc w:val="both"/>
        <w:rPr>
          <w:rFonts w:ascii="Times New Roman" w:hAnsi="Times New Roman" w:cs="Times New Roman"/>
          <w:sz w:val="27"/>
          <w:szCs w:val="27"/>
          <w:u w:val="single"/>
        </w:rPr>
      </w:pPr>
      <w:r w:rsidRPr="0000375C">
        <w:rPr>
          <w:rFonts w:ascii="Times New Roman" w:hAnsi="Times New Roman" w:cs="Times New Roman"/>
          <w:bCs/>
          <w:sz w:val="27"/>
          <w:szCs w:val="27"/>
        </w:rPr>
        <w:t xml:space="preserve">официальный сайт: </w:t>
      </w:r>
      <w:r w:rsidR="00A550D5" w:rsidRPr="0000375C">
        <w:rPr>
          <w:rFonts w:ascii="Times New Roman" w:hAnsi="Times New Roman" w:cs="Times New Roman"/>
          <w:sz w:val="27"/>
          <w:szCs w:val="27"/>
          <w:u w:val="single"/>
          <w:lang w:val="en-US"/>
        </w:rPr>
        <w:t>dagfkr</w:t>
      </w:r>
      <w:r w:rsidR="00A550D5" w:rsidRPr="0000375C">
        <w:rPr>
          <w:rFonts w:ascii="Times New Roman" w:hAnsi="Times New Roman" w:cs="Times New Roman"/>
          <w:sz w:val="27"/>
          <w:szCs w:val="27"/>
          <w:u w:val="single"/>
        </w:rPr>
        <w:t>.</w:t>
      </w:r>
      <w:r w:rsidR="00A550D5" w:rsidRPr="0000375C">
        <w:rPr>
          <w:rFonts w:ascii="Times New Roman" w:hAnsi="Times New Roman" w:cs="Times New Roman"/>
          <w:sz w:val="27"/>
          <w:szCs w:val="27"/>
          <w:u w:val="single"/>
          <w:lang w:val="en-US"/>
        </w:rPr>
        <w:t>ru</w:t>
      </w:r>
    </w:p>
    <w:p w:rsidR="00A3382A" w:rsidRPr="0000375C" w:rsidRDefault="001A64DD" w:rsidP="00EC11EC">
      <w:pPr>
        <w:tabs>
          <w:tab w:val="left" w:pos="3060"/>
        </w:tabs>
        <w:spacing w:after="0" w:line="240" w:lineRule="auto"/>
        <w:jc w:val="both"/>
        <w:rPr>
          <w:rFonts w:ascii="Times New Roman" w:hAnsi="Times New Roman"/>
          <w:b/>
          <w:bCs/>
          <w:sz w:val="27"/>
          <w:szCs w:val="27"/>
        </w:rPr>
      </w:pPr>
      <w:r w:rsidRPr="0000375C">
        <w:rPr>
          <w:rFonts w:ascii="Times New Roman" w:hAnsi="Times New Roman"/>
          <w:bCs/>
          <w:sz w:val="27"/>
          <w:szCs w:val="27"/>
        </w:rPr>
        <w:t xml:space="preserve">6. </w:t>
      </w:r>
      <w:r w:rsidR="00A3382A" w:rsidRPr="0000375C">
        <w:rPr>
          <w:rFonts w:ascii="Times New Roman" w:hAnsi="Times New Roman"/>
          <w:b/>
          <w:bCs/>
          <w:sz w:val="27"/>
          <w:szCs w:val="27"/>
        </w:rPr>
        <w:t xml:space="preserve">Информация об </w:t>
      </w:r>
      <w:r w:rsidR="002347E2" w:rsidRPr="0000375C">
        <w:rPr>
          <w:rFonts w:ascii="Times New Roman" w:hAnsi="Times New Roman"/>
          <w:b/>
          <w:bCs/>
          <w:sz w:val="27"/>
          <w:szCs w:val="27"/>
        </w:rPr>
        <w:t>оператор</w:t>
      </w:r>
      <w:r w:rsidR="00A3382A" w:rsidRPr="0000375C">
        <w:rPr>
          <w:rFonts w:ascii="Times New Roman" w:hAnsi="Times New Roman"/>
          <w:b/>
          <w:bCs/>
          <w:sz w:val="27"/>
          <w:szCs w:val="27"/>
        </w:rPr>
        <w:t>е электронной площадки:</w:t>
      </w:r>
    </w:p>
    <w:p w:rsidR="00BF4269" w:rsidRPr="0000375C" w:rsidRDefault="00A3382A" w:rsidP="00EC11EC">
      <w:pPr>
        <w:pStyle w:val="a4"/>
        <w:tabs>
          <w:tab w:val="left" w:pos="3060"/>
        </w:tabs>
        <w:spacing w:line="240" w:lineRule="auto"/>
        <w:ind w:left="426"/>
        <w:jc w:val="both"/>
        <w:rPr>
          <w:rFonts w:ascii="Times New Roman" w:hAnsi="Times New Roman"/>
          <w:bCs/>
          <w:sz w:val="27"/>
          <w:szCs w:val="27"/>
        </w:rPr>
      </w:pPr>
      <w:r w:rsidRPr="0000375C">
        <w:rPr>
          <w:rFonts w:ascii="Times New Roman" w:hAnsi="Times New Roman"/>
          <w:bCs/>
          <w:sz w:val="27"/>
          <w:szCs w:val="27"/>
        </w:rPr>
        <w:t xml:space="preserve">полное наименование: </w:t>
      </w:r>
      <w:r w:rsidR="005467A3" w:rsidRPr="0000375C">
        <w:rPr>
          <w:rFonts w:ascii="Times New Roman" w:hAnsi="Times New Roman"/>
          <w:bCs/>
          <w:sz w:val="27"/>
          <w:szCs w:val="27"/>
        </w:rPr>
        <w:t>АО «Единая электронная торговая площадка»</w:t>
      </w:r>
    </w:p>
    <w:p w:rsidR="00BF4269" w:rsidRPr="00201B7B" w:rsidRDefault="00A3382A" w:rsidP="00EC11EC">
      <w:pPr>
        <w:pStyle w:val="a4"/>
        <w:tabs>
          <w:tab w:val="left" w:pos="3060"/>
        </w:tabs>
        <w:spacing w:line="240" w:lineRule="auto"/>
        <w:ind w:left="426"/>
        <w:jc w:val="both"/>
        <w:rPr>
          <w:rFonts w:ascii="Times New Roman" w:hAnsi="Times New Roman"/>
          <w:bCs/>
          <w:sz w:val="27"/>
          <w:szCs w:val="27"/>
          <w:u w:val="single"/>
        </w:rPr>
      </w:pPr>
      <w:r w:rsidRPr="0000375C">
        <w:rPr>
          <w:rFonts w:ascii="Times New Roman" w:hAnsi="Times New Roman"/>
          <w:bCs/>
          <w:sz w:val="27"/>
          <w:szCs w:val="27"/>
        </w:rPr>
        <w:t xml:space="preserve">сайт </w:t>
      </w:r>
      <w:r w:rsidR="002347E2" w:rsidRPr="0000375C">
        <w:rPr>
          <w:rFonts w:ascii="Times New Roman" w:hAnsi="Times New Roman"/>
          <w:bCs/>
          <w:sz w:val="27"/>
          <w:szCs w:val="27"/>
        </w:rPr>
        <w:t>оператор</w:t>
      </w:r>
      <w:r w:rsidRPr="0000375C">
        <w:rPr>
          <w:rFonts w:ascii="Times New Roman" w:hAnsi="Times New Roman"/>
          <w:bCs/>
          <w:sz w:val="27"/>
          <w:szCs w:val="27"/>
        </w:rPr>
        <w:t xml:space="preserve">а электронной площадки: </w:t>
      </w:r>
      <w:hyperlink r:id="rId14" w:history="1">
        <w:r w:rsidR="006A5BE3" w:rsidRPr="0000375C">
          <w:rPr>
            <w:rStyle w:val="a5"/>
            <w:rFonts w:ascii="Times New Roman" w:hAnsi="Times New Roman"/>
            <w:bCs/>
            <w:color w:val="auto"/>
            <w:sz w:val="27"/>
            <w:szCs w:val="27"/>
          </w:rPr>
          <w:t>http</w:t>
        </w:r>
        <w:r w:rsidR="006A5BE3" w:rsidRPr="0000375C">
          <w:rPr>
            <w:rStyle w:val="a5"/>
            <w:rFonts w:ascii="Times New Roman" w:hAnsi="Times New Roman"/>
            <w:bCs/>
            <w:color w:val="auto"/>
            <w:sz w:val="27"/>
            <w:szCs w:val="27"/>
            <w:lang w:val="en-US"/>
          </w:rPr>
          <w:t>s</w:t>
        </w:r>
        <w:r w:rsidR="006A5BE3" w:rsidRPr="0000375C">
          <w:rPr>
            <w:rStyle w:val="a5"/>
            <w:rFonts w:ascii="Times New Roman" w:hAnsi="Times New Roman"/>
            <w:bCs/>
            <w:color w:val="auto"/>
            <w:sz w:val="27"/>
            <w:szCs w:val="27"/>
          </w:rPr>
          <w:t>://</w:t>
        </w:r>
        <w:r w:rsidR="006A5BE3" w:rsidRPr="0000375C">
          <w:rPr>
            <w:rStyle w:val="a5"/>
            <w:rFonts w:ascii="Times New Roman" w:hAnsi="Times New Roman"/>
            <w:bCs/>
            <w:color w:val="auto"/>
            <w:sz w:val="27"/>
            <w:szCs w:val="27"/>
            <w:lang w:val="en-US"/>
          </w:rPr>
          <w:t>roseltorg</w:t>
        </w:r>
        <w:r w:rsidR="006A5BE3" w:rsidRPr="0000375C">
          <w:rPr>
            <w:rStyle w:val="a5"/>
            <w:rFonts w:ascii="Times New Roman" w:hAnsi="Times New Roman"/>
            <w:bCs/>
            <w:color w:val="auto"/>
            <w:sz w:val="27"/>
            <w:szCs w:val="27"/>
          </w:rPr>
          <w:t>.</w:t>
        </w:r>
        <w:r w:rsidR="006A5BE3" w:rsidRPr="0000375C">
          <w:rPr>
            <w:rStyle w:val="a5"/>
            <w:rFonts w:ascii="Times New Roman" w:hAnsi="Times New Roman"/>
            <w:bCs/>
            <w:color w:val="auto"/>
            <w:sz w:val="27"/>
            <w:szCs w:val="27"/>
            <w:lang w:val="en-US"/>
          </w:rPr>
          <w:t>ru</w:t>
        </w:r>
      </w:hyperlink>
    </w:p>
    <w:p w:rsidR="00AB3743" w:rsidRPr="00AB3743" w:rsidRDefault="00AB3743" w:rsidP="00EC11EC">
      <w:pPr>
        <w:pStyle w:val="a4"/>
        <w:tabs>
          <w:tab w:val="left" w:pos="3060"/>
        </w:tabs>
        <w:spacing w:line="240" w:lineRule="auto"/>
        <w:ind w:left="426"/>
        <w:jc w:val="both"/>
        <w:rPr>
          <w:rFonts w:ascii="Times New Roman" w:hAnsi="Times New Roman"/>
          <w:bCs/>
          <w:sz w:val="27"/>
          <w:szCs w:val="27"/>
          <w:u w:val="single"/>
        </w:rPr>
      </w:pPr>
      <w:r w:rsidRPr="006E4106">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6E4106">
        <w:rPr>
          <w:rFonts w:ascii="Times New Roman" w:hAnsi="Times New Roman"/>
          <w:bCs/>
          <w:sz w:val="28"/>
          <w:szCs w:val="28"/>
          <w:lang w:val="en-US"/>
        </w:rPr>
        <w:t>www</w:t>
      </w:r>
      <w:r w:rsidRPr="006E4106">
        <w:rPr>
          <w:rFonts w:ascii="Times New Roman" w:hAnsi="Times New Roman"/>
          <w:bCs/>
          <w:sz w:val="28"/>
          <w:szCs w:val="28"/>
        </w:rPr>
        <w:t>.</w:t>
      </w:r>
      <w:r w:rsidRPr="006E4106">
        <w:rPr>
          <w:rFonts w:ascii="Times New Roman" w:hAnsi="Times New Roman"/>
          <w:bCs/>
          <w:sz w:val="28"/>
          <w:szCs w:val="28"/>
          <w:lang w:val="en-US"/>
        </w:rPr>
        <w:t>zakupki</w:t>
      </w:r>
      <w:r w:rsidRPr="006E4106">
        <w:rPr>
          <w:rFonts w:ascii="Times New Roman" w:hAnsi="Times New Roman"/>
          <w:bCs/>
          <w:sz w:val="28"/>
          <w:szCs w:val="28"/>
        </w:rPr>
        <w:t>.</w:t>
      </w:r>
      <w:r w:rsidRPr="006E4106">
        <w:rPr>
          <w:rFonts w:ascii="Times New Roman" w:hAnsi="Times New Roman"/>
          <w:bCs/>
          <w:sz w:val="28"/>
          <w:szCs w:val="28"/>
          <w:lang w:val="en-US"/>
        </w:rPr>
        <w:t>gov</w:t>
      </w:r>
      <w:r w:rsidRPr="006E4106">
        <w:rPr>
          <w:rFonts w:ascii="Times New Roman" w:hAnsi="Times New Roman"/>
          <w:bCs/>
          <w:sz w:val="28"/>
          <w:szCs w:val="28"/>
        </w:rPr>
        <w:t>.</w:t>
      </w:r>
      <w:r w:rsidRPr="006E4106">
        <w:rPr>
          <w:rFonts w:ascii="Times New Roman" w:hAnsi="Times New Roman"/>
          <w:bCs/>
          <w:sz w:val="28"/>
          <w:szCs w:val="28"/>
          <w:lang w:val="en-US"/>
        </w:rPr>
        <w:t>ru</w:t>
      </w:r>
    </w:p>
    <w:p w:rsidR="000834CF" w:rsidRPr="00337AE8" w:rsidRDefault="000834CF" w:rsidP="000834CF">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Pr>
          <w:rFonts w:ascii="Times New Roman" w:hAnsi="Times New Roman"/>
          <w:bCs/>
          <w:sz w:val="28"/>
          <w:szCs w:val="28"/>
        </w:rPr>
        <w:t xml:space="preserve">. </w:t>
      </w:r>
      <w:r w:rsidRPr="00337AE8">
        <w:rPr>
          <w:rFonts w:ascii="Times New Roman" w:hAnsi="Times New Roman"/>
          <w:b/>
          <w:bCs/>
          <w:sz w:val="28"/>
          <w:szCs w:val="28"/>
        </w:rPr>
        <w:t>Дата и время начала срока подачи заявок на участие в предварительном оборе (далее – Заявка):</w:t>
      </w:r>
    </w:p>
    <w:p w:rsidR="002322F2" w:rsidRDefault="00075B7F" w:rsidP="002322F2">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B2042">
        <w:rPr>
          <w:rFonts w:ascii="Times New Roman" w:hAnsi="Times New Roman"/>
          <w:bCs/>
          <w:sz w:val="28"/>
          <w:szCs w:val="28"/>
        </w:rPr>
        <w:t>2</w:t>
      </w:r>
      <w:r w:rsidR="00585EF6">
        <w:rPr>
          <w:rFonts w:ascii="Times New Roman" w:hAnsi="Times New Roman"/>
          <w:bCs/>
          <w:sz w:val="28"/>
          <w:szCs w:val="28"/>
        </w:rPr>
        <w:t>4</w:t>
      </w:r>
      <w:r w:rsidR="002322F2">
        <w:rPr>
          <w:rFonts w:ascii="Times New Roman" w:hAnsi="Times New Roman"/>
          <w:bCs/>
          <w:sz w:val="28"/>
          <w:szCs w:val="28"/>
        </w:rPr>
        <w:t xml:space="preserve">" </w:t>
      </w:r>
      <w:r w:rsidR="00585EF6">
        <w:rPr>
          <w:rFonts w:ascii="Times New Roman" w:hAnsi="Times New Roman"/>
          <w:bCs/>
          <w:sz w:val="28"/>
          <w:szCs w:val="28"/>
        </w:rPr>
        <w:t>марта</w:t>
      </w:r>
      <w:r w:rsidR="002322F2">
        <w:rPr>
          <w:rFonts w:ascii="Times New Roman" w:hAnsi="Times New Roman"/>
          <w:bCs/>
          <w:sz w:val="28"/>
          <w:szCs w:val="28"/>
        </w:rPr>
        <w:t xml:space="preserve"> 202</w:t>
      </w:r>
      <w:r w:rsidR="00585EF6">
        <w:rPr>
          <w:rFonts w:ascii="Times New Roman" w:hAnsi="Times New Roman"/>
          <w:bCs/>
          <w:sz w:val="28"/>
          <w:szCs w:val="28"/>
        </w:rPr>
        <w:t>2</w:t>
      </w:r>
      <w:r w:rsidR="002322F2">
        <w:rPr>
          <w:rFonts w:ascii="Times New Roman" w:hAnsi="Times New Roman"/>
          <w:bCs/>
          <w:sz w:val="28"/>
          <w:szCs w:val="28"/>
        </w:rPr>
        <w:t xml:space="preserve"> года 9 часов 00 минут (время московское). </w:t>
      </w:r>
    </w:p>
    <w:p w:rsidR="002322F2" w:rsidRPr="00337AE8" w:rsidRDefault="002322F2" w:rsidP="002322F2">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rsidR="002322F2" w:rsidRDefault="00376F97" w:rsidP="002322F2">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585EF6">
        <w:rPr>
          <w:rFonts w:ascii="Times New Roman" w:hAnsi="Times New Roman"/>
          <w:bCs/>
          <w:sz w:val="28"/>
          <w:szCs w:val="28"/>
        </w:rPr>
        <w:t>14</w:t>
      </w:r>
      <w:r w:rsidR="00075B7F">
        <w:rPr>
          <w:rFonts w:ascii="Times New Roman" w:hAnsi="Times New Roman"/>
          <w:bCs/>
          <w:sz w:val="28"/>
          <w:szCs w:val="28"/>
        </w:rPr>
        <w:t xml:space="preserve">" </w:t>
      </w:r>
      <w:r w:rsidR="00585EF6">
        <w:rPr>
          <w:rFonts w:ascii="Times New Roman" w:hAnsi="Times New Roman"/>
          <w:bCs/>
          <w:sz w:val="28"/>
          <w:szCs w:val="28"/>
        </w:rPr>
        <w:t>апреля</w:t>
      </w:r>
      <w:r w:rsidR="002322F2">
        <w:rPr>
          <w:rFonts w:ascii="Times New Roman" w:hAnsi="Times New Roman"/>
          <w:bCs/>
          <w:sz w:val="28"/>
          <w:szCs w:val="28"/>
        </w:rPr>
        <w:t xml:space="preserve"> 202</w:t>
      </w:r>
      <w:r w:rsidR="00585EF6">
        <w:rPr>
          <w:rFonts w:ascii="Times New Roman" w:hAnsi="Times New Roman"/>
          <w:bCs/>
          <w:sz w:val="28"/>
          <w:szCs w:val="28"/>
        </w:rPr>
        <w:t>2</w:t>
      </w:r>
      <w:r w:rsidR="002322F2">
        <w:rPr>
          <w:rFonts w:ascii="Times New Roman" w:hAnsi="Times New Roman"/>
          <w:bCs/>
          <w:sz w:val="28"/>
          <w:szCs w:val="28"/>
        </w:rPr>
        <w:t xml:space="preserve"> года 18 часов 00 минут (время московское).</w:t>
      </w:r>
    </w:p>
    <w:p w:rsidR="002322F2" w:rsidRPr="00337AE8" w:rsidRDefault="002322F2" w:rsidP="002322F2">
      <w:pPr>
        <w:pStyle w:val="a4"/>
        <w:tabs>
          <w:tab w:val="left" w:pos="3060"/>
        </w:tabs>
        <w:spacing w:after="0" w:line="240" w:lineRule="auto"/>
        <w:ind w:left="426" w:right="2"/>
        <w:jc w:val="both"/>
        <w:rPr>
          <w:rFonts w:ascii="Times New Roman" w:hAnsi="Times New Roman"/>
          <w:bCs/>
          <w:sz w:val="24"/>
        </w:rPr>
      </w:pPr>
    </w:p>
    <w:p w:rsidR="002322F2" w:rsidRPr="00337AE8" w:rsidRDefault="002322F2" w:rsidP="002322F2">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рассмотрения Заявок:</w:t>
      </w:r>
    </w:p>
    <w:p w:rsidR="002322F2" w:rsidRDefault="00376F97" w:rsidP="002322F2">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585EF6">
        <w:rPr>
          <w:rFonts w:ascii="Times New Roman" w:hAnsi="Times New Roman"/>
          <w:bCs/>
          <w:sz w:val="28"/>
          <w:szCs w:val="28"/>
        </w:rPr>
        <w:t>28</w:t>
      </w:r>
      <w:r w:rsidR="002322F2">
        <w:rPr>
          <w:rFonts w:ascii="Times New Roman" w:hAnsi="Times New Roman"/>
          <w:bCs/>
          <w:sz w:val="28"/>
          <w:szCs w:val="28"/>
        </w:rPr>
        <w:t xml:space="preserve">" </w:t>
      </w:r>
      <w:r w:rsidR="00AC36C3">
        <w:rPr>
          <w:rFonts w:ascii="Times New Roman" w:hAnsi="Times New Roman"/>
          <w:bCs/>
          <w:sz w:val="28"/>
          <w:szCs w:val="28"/>
        </w:rPr>
        <w:t>апреля</w:t>
      </w:r>
      <w:r w:rsidR="002322F2">
        <w:rPr>
          <w:rFonts w:ascii="Times New Roman" w:hAnsi="Times New Roman"/>
          <w:bCs/>
          <w:sz w:val="28"/>
          <w:szCs w:val="28"/>
        </w:rPr>
        <w:t xml:space="preserve"> 202</w:t>
      </w:r>
      <w:r w:rsidR="00585EF6">
        <w:rPr>
          <w:rFonts w:ascii="Times New Roman" w:hAnsi="Times New Roman"/>
          <w:bCs/>
          <w:sz w:val="28"/>
          <w:szCs w:val="28"/>
        </w:rPr>
        <w:t>2</w:t>
      </w:r>
      <w:r w:rsidR="002322F2">
        <w:rPr>
          <w:rFonts w:ascii="Times New Roman" w:hAnsi="Times New Roman"/>
          <w:bCs/>
          <w:sz w:val="28"/>
          <w:szCs w:val="28"/>
        </w:rPr>
        <w:t xml:space="preserve"> года 17 часов 00 минут (время московское).</w:t>
      </w:r>
    </w:p>
    <w:p w:rsidR="00C1562D" w:rsidRPr="0000375C" w:rsidRDefault="00C1562D" w:rsidP="00FE374A">
      <w:pPr>
        <w:tabs>
          <w:tab w:val="left" w:pos="284"/>
          <w:tab w:val="left" w:pos="3060"/>
        </w:tabs>
        <w:spacing w:after="0" w:line="240" w:lineRule="auto"/>
        <w:jc w:val="both"/>
        <w:rPr>
          <w:rFonts w:ascii="Times New Roman" w:hAnsi="Times New Roman"/>
          <w:b/>
          <w:bCs/>
          <w:sz w:val="27"/>
          <w:szCs w:val="27"/>
        </w:rPr>
      </w:pPr>
      <w:r w:rsidRPr="0000375C">
        <w:rPr>
          <w:rFonts w:ascii="Times New Roman" w:hAnsi="Times New Roman"/>
          <w:bCs/>
          <w:sz w:val="27"/>
          <w:szCs w:val="27"/>
        </w:rPr>
        <w:t>10.</w:t>
      </w:r>
      <w:r w:rsidRPr="0000375C">
        <w:rPr>
          <w:rFonts w:ascii="Times New Roman" w:hAnsi="Times New Roman"/>
          <w:b/>
          <w:bCs/>
          <w:sz w:val="27"/>
          <w:szCs w:val="27"/>
        </w:rPr>
        <w:t xml:space="preserve"> Место рассмотрения Заявок:</w:t>
      </w:r>
    </w:p>
    <w:p w:rsidR="00BF4269" w:rsidRPr="0000375C" w:rsidRDefault="005D0A1E" w:rsidP="009F58C2">
      <w:pPr>
        <w:tabs>
          <w:tab w:val="left" w:pos="3060"/>
        </w:tabs>
        <w:spacing w:after="0" w:line="240" w:lineRule="auto"/>
        <w:ind w:right="2"/>
        <w:jc w:val="both"/>
        <w:rPr>
          <w:rFonts w:ascii="Times New Roman" w:hAnsi="Times New Roman"/>
          <w:b/>
          <w:bCs/>
          <w:sz w:val="27"/>
          <w:szCs w:val="27"/>
        </w:rPr>
      </w:pPr>
      <w:r w:rsidRPr="0000375C">
        <w:rPr>
          <w:rFonts w:ascii="Times New Roman" w:eastAsia="Calibri" w:hAnsi="Times New Roman"/>
          <w:sz w:val="27"/>
          <w:szCs w:val="27"/>
        </w:rPr>
        <w:t>Республика Дагестан</w:t>
      </w:r>
      <w:r w:rsidR="00CB4325" w:rsidRPr="0000375C">
        <w:rPr>
          <w:rFonts w:ascii="Times New Roman" w:eastAsia="Calibri" w:hAnsi="Times New Roman"/>
          <w:sz w:val="27"/>
          <w:szCs w:val="27"/>
        </w:rPr>
        <w:t>, г</w:t>
      </w:r>
      <w:r w:rsidR="000515EF" w:rsidRPr="0000375C">
        <w:rPr>
          <w:rFonts w:ascii="Times New Roman" w:eastAsia="Calibri" w:hAnsi="Times New Roman"/>
          <w:sz w:val="27"/>
          <w:szCs w:val="27"/>
        </w:rPr>
        <w:t>ор</w:t>
      </w:r>
      <w:r w:rsidR="00CB4325" w:rsidRPr="0000375C">
        <w:rPr>
          <w:rFonts w:ascii="Times New Roman" w:eastAsia="Calibri" w:hAnsi="Times New Roman"/>
          <w:sz w:val="27"/>
          <w:szCs w:val="27"/>
        </w:rPr>
        <w:t>. </w:t>
      </w:r>
      <w:r w:rsidRPr="0000375C">
        <w:rPr>
          <w:rFonts w:ascii="Times New Roman" w:eastAsia="Calibri" w:hAnsi="Times New Roman"/>
          <w:sz w:val="27"/>
          <w:szCs w:val="27"/>
        </w:rPr>
        <w:t>Махачкала, пр</w:t>
      </w:r>
      <w:r w:rsidR="00CB4325" w:rsidRPr="0000375C">
        <w:rPr>
          <w:rFonts w:ascii="Times New Roman" w:eastAsia="Calibri" w:hAnsi="Times New Roman"/>
          <w:sz w:val="27"/>
          <w:szCs w:val="27"/>
        </w:rPr>
        <w:t xml:space="preserve">. </w:t>
      </w:r>
      <w:r w:rsidRPr="0000375C">
        <w:rPr>
          <w:rFonts w:ascii="Times New Roman" w:eastAsia="Calibri" w:hAnsi="Times New Roman"/>
          <w:sz w:val="27"/>
          <w:szCs w:val="27"/>
        </w:rPr>
        <w:t>И.Шамиля, д. 58</w:t>
      </w:r>
      <w:r w:rsidR="00CB4325" w:rsidRPr="0000375C">
        <w:rPr>
          <w:rFonts w:ascii="Times New Roman" w:eastAsia="Calibri" w:hAnsi="Times New Roman"/>
          <w:sz w:val="27"/>
          <w:szCs w:val="27"/>
        </w:rPr>
        <w:t>, каб.</w:t>
      </w:r>
      <w:r w:rsidRPr="0000375C">
        <w:rPr>
          <w:rFonts w:ascii="Times New Roman" w:eastAsia="Calibri" w:hAnsi="Times New Roman"/>
          <w:sz w:val="27"/>
          <w:szCs w:val="27"/>
        </w:rPr>
        <w:t xml:space="preserve"> 301</w:t>
      </w:r>
      <w:r w:rsidR="009F58C2" w:rsidRPr="0000375C">
        <w:rPr>
          <w:rFonts w:ascii="Times New Roman" w:hAnsi="Times New Roman"/>
          <w:b/>
          <w:bCs/>
          <w:sz w:val="27"/>
          <w:szCs w:val="27"/>
        </w:rPr>
        <w:t>.</w:t>
      </w:r>
    </w:p>
    <w:p w:rsidR="009747E7" w:rsidRPr="0000375C" w:rsidRDefault="00C1562D" w:rsidP="00796484">
      <w:pPr>
        <w:tabs>
          <w:tab w:val="left" w:pos="3060"/>
        </w:tabs>
        <w:spacing w:after="0" w:line="240" w:lineRule="auto"/>
        <w:ind w:right="2"/>
        <w:jc w:val="both"/>
        <w:rPr>
          <w:rFonts w:ascii="Times New Roman" w:hAnsi="Times New Roman"/>
          <w:bCs/>
          <w:sz w:val="27"/>
          <w:szCs w:val="27"/>
        </w:rPr>
      </w:pPr>
      <w:r w:rsidRPr="0000375C">
        <w:rPr>
          <w:rFonts w:ascii="Times New Roman" w:hAnsi="Times New Roman"/>
          <w:bCs/>
          <w:sz w:val="27"/>
          <w:szCs w:val="27"/>
        </w:rPr>
        <w:t>11</w:t>
      </w:r>
      <w:r w:rsidR="001A64DD" w:rsidRPr="0000375C">
        <w:rPr>
          <w:rFonts w:ascii="Times New Roman" w:hAnsi="Times New Roman"/>
          <w:bCs/>
          <w:sz w:val="27"/>
          <w:szCs w:val="27"/>
        </w:rPr>
        <w:t>.</w:t>
      </w:r>
      <w:r w:rsidR="005D0A1E" w:rsidRPr="0000375C">
        <w:rPr>
          <w:rFonts w:ascii="Times New Roman" w:hAnsi="Times New Roman"/>
          <w:bCs/>
          <w:sz w:val="27"/>
          <w:szCs w:val="27"/>
        </w:rPr>
        <w:t xml:space="preserve"> </w:t>
      </w:r>
      <w:r w:rsidR="00A3382A" w:rsidRPr="0000375C">
        <w:rPr>
          <w:rFonts w:ascii="Times New Roman" w:hAnsi="Times New Roman"/>
          <w:b/>
          <w:bCs/>
          <w:sz w:val="27"/>
          <w:szCs w:val="27"/>
        </w:rPr>
        <w:t xml:space="preserve">Период действия результатов предварительного отбора – </w:t>
      </w:r>
      <w:r w:rsidR="00A3382A" w:rsidRPr="0000375C">
        <w:rPr>
          <w:rFonts w:ascii="Times New Roman" w:hAnsi="Times New Roman"/>
          <w:bCs/>
          <w:sz w:val="27"/>
          <w:szCs w:val="27"/>
        </w:rPr>
        <w:t>3 года</w:t>
      </w:r>
      <w:r w:rsidR="009F58C2" w:rsidRPr="0000375C">
        <w:rPr>
          <w:rFonts w:ascii="Times New Roman" w:hAnsi="Times New Roman"/>
          <w:bCs/>
          <w:sz w:val="27"/>
          <w:szCs w:val="27"/>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5"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6"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B162C7" w:rsidRDefault="00B162C7" w:rsidP="00905414">
      <w:pPr>
        <w:rPr>
          <w:rFonts w:ascii="Times New Roman" w:hAnsi="Times New Roman"/>
          <w:vanish/>
          <w:highlight w:val="magenta"/>
        </w:rPr>
      </w:pPr>
    </w:p>
    <w:p w:rsidR="00B162C7" w:rsidRPr="00CD3461" w:rsidRDefault="00B162C7"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B162C7" w:rsidRDefault="00B162C7" w:rsidP="001E13BD">
            <w:pPr>
              <w:jc w:val="center"/>
              <w:rPr>
                <w:rStyle w:val="a9"/>
                <w:rFonts w:ascii="Times New Roman" w:hAnsi="Times New Roman" w:cs="Times New Roman"/>
                <w:sz w:val="24"/>
                <w:szCs w:val="24"/>
              </w:rPr>
            </w:pPr>
          </w:p>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Некоммерческая организация «</w:t>
            </w:r>
            <w:r w:rsidR="00A550D5">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CD3461">
              <w:rPr>
                <w:rStyle w:val="a9"/>
                <w:rFonts w:ascii="Times New Roman" w:hAnsi="Times New Roman" w:cs="Times New Roman"/>
                <w:sz w:val="24"/>
                <w:szCs w:val="24"/>
              </w:rPr>
              <w:t xml:space="preserve">»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E15507">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w:t>
            </w:r>
            <w:r w:rsidRPr="00A550D5">
              <w:rPr>
                <w:rStyle w:val="a9"/>
                <w:rFonts w:ascii="Times New Roman" w:hAnsi="Times New Roman" w:cs="Times New Roman"/>
                <w:sz w:val="24"/>
                <w:szCs w:val="24"/>
              </w:rPr>
              <w:t xml:space="preserve"> </w:t>
            </w:r>
            <w:r w:rsidR="00E15507">
              <w:rPr>
                <w:rStyle w:val="a9"/>
                <w:rFonts w:ascii="Times New Roman" w:hAnsi="Times New Roman" w:cs="Times New Roman"/>
                <w:sz w:val="24"/>
                <w:szCs w:val="24"/>
                <w:lang w:val="en-US"/>
              </w:rPr>
              <w:t>dagfkr</w:t>
            </w:r>
            <w:r w:rsidR="00E15507" w:rsidRPr="00E15507">
              <w:rPr>
                <w:rStyle w:val="a9"/>
                <w:rFonts w:ascii="Times New Roman" w:hAnsi="Times New Roman" w:cs="Times New Roman"/>
                <w:sz w:val="24"/>
                <w:szCs w:val="24"/>
              </w:rPr>
              <w:t>.</w:t>
            </w:r>
            <w:r w:rsidR="00E15507">
              <w:rPr>
                <w:rStyle w:val="a9"/>
                <w:rFonts w:ascii="Times New Roman" w:hAnsi="Times New Roman" w:cs="Times New Roman"/>
                <w:sz w:val="24"/>
                <w:szCs w:val="24"/>
                <w:lang w:val="en-US"/>
              </w:rPr>
              <w:t>ru</w:t>
            </w:r>
            <w:hyperlink r:id="rId17" w:history="1"/>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w:t>
            </w:r>
            <w:r w:rsidRPr="00CD3461">
              <w:rPr>
                <w:rStyle w:val="a9"/>
                <w:rFonts w:ascii="Times New Roman" w:hAnsi="Times New Roman" w:cs="Times New Roman"/>
                <w:sz w:val="24"/>
                <w:szCs w:val="24"/>
              </w:rPr>
              <w:lastRenderedPageBreak/>
              <w:t>обеспечения исполнения обязательств по договору о проведении 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E15507">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E15507">
              <w:rPr>
                <w:rStyle w:val="a9"/>
                <w:rFonts w:ascii="Times New Roman" w:hAnsi="Times New Roman" w:cs="Times New Roman"/>
                <w:sz w:val="24"/>
                <w:szCs w:val="24"/>
              </w:rPr>
              <w:t>Республики Дагестан</w:t>
            </w:r>
            <w:r w:rsidRPr="00CD3461">
              <w:rPr>
                <w:rStyle w:val="a9"/>
                <w:rFonts w:ascii="Times New Roman" w:hAnsi="Times New Roman" w:cs="Times New Roman"/>
                <w:sz w:val="24"/>
                <w:szCs w:val="24"/>
              </w:rPr>
              <w:t>.</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w:t>
            </w:r>
            <w:r w:rsidRPr="00CD3461">
              <w:rPr>
                <w:rFonts w:ascii="Times New Roman" w:hAnsi="Times New Roman" w:cs="Times New Roman"/>
                <w:sz w:val="24"/>
                <w:szCs w:val="24"/>
              </w:rPr>
              <w:lastRenderedPageBreak/>
              <w:t>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w:t>
            </w:r>
            <w:r w:rsidRPr="00CD3461">
              <w:rPr>
                <w:rFonts w:ascii="Times New Roman" w:hAnsi="Times New Roman" w:cs="Times New Roman"/>
                <w:sz w:val="24"/>
                <w:szCs w:val="24"/>
              </w:rPr>
              <w:lastRenderedPageBreak/>
              <w:t>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w:t>
            </w:r>
            <w:r w:rsidRPr="00CD3461">
              <w:rPr>
                <w:rFonts w:ascii="Times New Roman" w:hAnsi="Times New Roman" w:cs="Times New Roman"/>
                <w:sz w:val="24"/>
                <w:szCs w:val="24"/>
              </w:rPr>
              <w:lastRenderedPageBreak/>
              <w:t>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Default="00844F6C" w:rsidP="00FD2BE3">
      <w:pPr>
        <w:rPr>
          <w:rFonts w:ascii="Times New Roman" w:hAnsi="Times New Roman" w:cs="Times New Roman"/>
          <w:sz w:val="28"/>
          <w:szCs w:val="28"/>
        </w:rPr>
      </w:pPr>
    </w:p>
    <w:p w:rsidR="0000375C" w:rsidRPr="00CD3461" w:rsidRDefault="0000375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E15507">
        <w:rPr>
          <w:rFonts w:ascii="Times New Roman" w:hAnsi="Times New Roman"/>
          <w:b/>
          <w:sz w:val="28"/>
          <w:szCs w:val="28"/>
          <w:u w:val="single"/>
          <w:lang w:val="en-US"/>
        </w:rPr>
        <w:t>dagfkr</w:t>
      </w:r>
      <w:r w:rsidR="00E15507" w:rsidRPr="00E15507">
        <w:rPr>
          <w:rFonts w:ascii="Times New Roman" w:hAnsi="Times New Roman"/>
          <w:b/>
          <w:sz w:val="28"/>
          <w:szCs w:val="28"/>
          <w:u w:val="single"/>
        </w:rPr>
        <w:t>.</w:t>
      </w:r>
      <w:r w:rsidR="00E15507">
        <w:rPr>
          <w:rFonts w:ascii="Times New Roman" w:hAnsi="Times New Roman"/>
          <w:b/>
          <w:sz w:val="28"/>
          <w:szCs w:val="28"/>
          <w:u w:val="single"/>
          <w:lang w:val="en-US"/>
        </w:rPr>
        <w:t>ru</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9"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w:t>
      </w:r>
      <w:r w:rsidR="00E15507">
        <w:rPr>
          <w:rFonts w:ascii="Times New Roman" w:hAnsi="Times New Roman" w:cs="Times New Roman"/>
          <w:sz w:val="28"/>
          <w:szCs w:val="28"/>
        </w:rPr>
        <w:t>не</w:t>
      </w:r>
      <w:r w:rsidR="00E15507" w:rsidRPr="00CD3461">
        <w:rPr>
          <w:rFonts w:ascii="Times New Roman" w:hAnsi="Times New Roman" w:cs="Times New Roman"/>
          <w:sz w:val="28"/>
          <w:szCs w:val="28"/>
        </w:rPr>
        <w:t>приостановление</w:t>
      </w:r>
      <w:r w:rsidR="00DD24E1" w:rsidRPr="00CD3461">
        <w:rPr>
          <w:rFonts w:ascii="Times New Roman" w:hAnsi="Times New Roman" w:cs="Times New Roman"/>
          <w:sz w:val="28"/>
          <w:szCs w:val="28"/>
        </w:rPr>
        <w:t xml:space="preserve">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xml:space="preserve">, </w:t>
      </w:r>
      <w:r w:rsidR="006B6ED6" w:rsidRPr="00CD3461">
        <w:rPr>
          <w:rFonts w:ascii="Times New Roman" w:hAnsi="Times New Roman" w:cs="Times New Roman"/>
          <w:sz w:val="28"/>
          <w:szCs w:val="28"/>
        </w:rPr>
        <w:lastRenderedPageBreak/>
        <w:t>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 xml:space="preserve">л) </w:t>
      </w:r>
      <w:r w:rsidR="00C56AF5">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пунктом 1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55.5 Градостроительного кодекса РФ</w:t>
      </w:r>
      <w:r w:rsidRPr="00B55270">
        <w:rPr>
          <w:rFonts w:ascii="Times New Roman" w:hAnsi="Times New Roman" w:cs="Times New Roman"/>
          <w:sz w:val="28"/>
          <w:szCs w:val="28"/>
        </w:rPr>
        <w:t>;</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E15507" w:rsidRPr="00E15507">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20"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w:t>
      </w:r>
      <w:r w:rsidR="007C7506" w:rsidRPr="00CD3461">
        <w:rPr>
          <w:rStyle w:val="a9"/>
          <w:rFonts w:ascii="Times New Roman" w:hAnsi="Times New Roman" w:cs="Times New Roman"/>
          <w:sz w:val="28"/>
          <w:szCs w:val="28"/>
        </w:rPr>
        <w:lastRenderedPageBreak/>
        <w:t xml:space="preserve">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6028D3">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удостоверений</w:t>
      </w:r>
      <w:r w:rsidR="00CF2B55" w:rsidRPr="00CD3461">
        <w:rPr>
          <w:rStyle w:val="a9"/>
          <w:rFonts w:ascii="Times New Roman" w:hAnsi="Times New Roman" w:cs="Times New Roman"/>
          <w:sz w:val="28"/>
          <w:szCs w:val="28"/>
        </w:rPr>
        <w:t>,</w:t>
      </w:r>
      <w:r w:rsidR="006028D3">
        <w:rPr>
          <w:rStyle w:val="a9"/>
          <w:rFonts w:ascii="Times New Roman" w:hAnsi="Times New Roman" w:cs="Times New Roman"/>
          <w:sz w:val="28"/>
          <w:szCs w:val="28"/>
        </w:rPr>
        <w:t xml:space="preserve"> и иных документов</w:t>
      </w:r>
      <w:r w:rsidR="00CF2B55" w:rsidRPr="00CD3461">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B162C7">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D7124D" w:rsidRPr="00CD3461" w:rsidRDefault="00D7124D"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вносятся в Заявку должны быть подписаны </w:t>
      </w:r>
      <w:r w:rsidRPr="00CD3461">
        <w:rPr>
          <w:rFonts w:ascii="Times New Roman" w:hAnsi="Times New Roman" w:cs="Times New Roman"/>
          <w:sz w:val="28"/>
          <w:szCs w:val="28"/>
        </w:rPr>
        <w:lastRenderedPageBreak/>
        <w:t>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 xml:space="preserve">проведении </w:t>
      </w:r>
      <w:r w:rsidR="000B6D93" w:rsidRPr="00CD3461">
        <w:rPr>
          <w:rFonts w:ascii="Times New Roman" w:hAnsi="Times New Roman" w:cs="Times New Roman"/>
          <w:sz w:val="28"/>
          <w:szCs w:val="28"/>
        </w:rPr>
        <w:lastRenderedPageBreak/>
        <w:t>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 xml:space="preserve">и (или) в </w:t>
      </w:r>
      <w:r w:rsidR="00FD0661" w:rsidRPr="00CD3461">
        <w:rPr>
          <w:rFonts w:ascii="Times New Roman" w:hAnsi="Times New Roman" w:cs="Times New Roman"/>
          <w:sz w:val="28"/>
          <w:szCs w:val="28"/>
        </w:rPr>
        <w:lastRenderedPageBreak/>
        <w:t>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E72EFB" w:rsidRPr="00CD346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21" w:history="1">
        <w:r w:rsidR="00E922E6" w:rsidRPr="0074069F">
          <w:rPr>
            <w:rStyle w:val="a5"/>
            <w:rFonts w:ascii="Times New Roman" w:eastAsia="Times New Roman" w:hAnsi="Times New Roman" w:cs="Times New Roman"/>
            <w:bCs/>
            <w:color w:val="000000"/>
            <w:spacing w:val="-6"/>
            <w:sz w:val="28"/>
            <w:szCs w:val="28"/>
            <w:lang w:val="en-US"/>
          </w:rPr>
          <w:t>http</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minstroy</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e</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dag</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ru</w:t>
        </w:r>
      </w:hyperlink>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E922E6" w:rsidRPr="00CD3461">
        <w:rPr>
          <w:rFonts w:ascii="Times New Roman" w:hAnsi="Times New Roman" w:cs="Times New Roman"/>
          <w:sz w:val="28"/>
          <w:szCs w:val="28"/>
        </w:rPr>
        <w:t>не полнородными</w:t>
      </w:r>
      <w:r w:rsidRPr="00CD346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lastRenderedPageBreak/>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922E6">
        <w:rPr>
          <w:rFonts w:ascii="Times New Roman" w:hAnsi="Times New Roman" w:cs="Times New Roman"/>
          <w:sz w:val="28"/>
          <w:szCs w:val="28"/>
        </w:rPr>
        <w:t xml:space="preserve"> </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E922E6">
        <w:rPr>
          <w:rFonts w:ascii="Times New Roman" w:hAnsi="Times New Roman" w:cs="Times New Roman"/>
          <w:sz w:val="28"/>
          <w:szCs w:val="28"/>
        </w:rPr>
        <w:t xml:space="preserve"> </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w:t>
      </w:r>
      <w:r w:rsidRPr="00CD3461">
        <w:rPr>
          <w:rFonts w:ascii="Times New Roman" w:hAnsi="Times New Roman" w:cs="Times New Roman"/>
          <w:sz w:val="28"/>
          <w:szCs w:val="28"/>
        </w:rPr>
        <w:lastRenderedPageBreak/>
        <w:t xml:space="preserve">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22" w:history="1">
        <w:r w:rsidR="00E922E6" w:rsidRPr="0074069F">
          <w:rPr>
            <w:rStyle w:val="a5"/>
            <w:rFonts w:ascii="Times New Roman" w:eastAsia="Times New Roman" w:hAnsi="Times New Roman" w:cs="Times New Roman"/>
            <w:bCs/>
            <w:color w:val="000000"/>
            <w:spacing w:val="-6"/>
            <w:sz w:val="28"/>
            <w:szCs w:val="28"/>
            <w:lang w:val="en-US"/>
          </w:rPr>
          <w:t>http</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minstroy</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e</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dag</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ru</w:t>
        </w:r>
      </w:hyperlink>
      <w:r w:rsidR="00E922E6">
        <w:rPr>
          <w:rFonts w:ascii="Times New Roman" w:eastAsia="Times New Roman" w:hAnsi="Times New Roman" w:cs="Times New Roman"/>
          <w:bCs/>
          <w:color w:val="000000"/>
          <w:spacing w:val="-6"/>
          <w:sz w:val="28"/>
          <w:szCs w:val="28"/>
        </w:rPr>
        <w:t xml:space="preserve"> </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F02AEF" w:rsidRDefault="00F02AEF" w:rsidP="00E572FC">
      <w:pPr>
        <w:spacing w:after="0" w:line="240" w:lineRule="auto"/>
        <w:ind w:left="5670"/>
        <w:jc w:val="right"/>
        <w:rPr>
          <w:rFonts w:ascii="Times New Roman" w:hAnsi="Times New Roman" w:cs="Times New Roman"/>
          <w:sz w:val="24"/>
          <w:szCs w:val="24"/>
        </w:rPr>
      </w:pPr>
    </w:p>
    <w:p w:rsidR="00F02AEF" w:rsidRDefault="00F02AEF" w:rsidP="00E572FC">
      <w:pPr>
        <w:spacing w:after="0" w:line="240" w:lineRule="auto"/>
        <w:ind w:left="5670"/>
        <w:jc w:val="right"/>
        <w:rPr>
          <w:rFonts w:ascii="Times New Roman" w:hAnsi="Times New Roman" w:cs="Times New Roman"/>
          <w:sz w:val="24"/>
          <w:szCs w:val="24"/>
        </w:rPr>
      </w:pPr>
    </w:p>
    <w:p w:rsidR="00F02AEF" w:rsidRDefault="00F02AEF" w:rsidP="00E572FC">
      <w:pPr>
        <w:spacing w:after="0" w:line="240" w:lineRule="auto"/>
        <w:ind w:left="5670"/>
        <w:jc w:val="right"/>
        <w:rPr>
          <w:rFonts w:ascii="Times New Roman" w:hAnsi="Times New Roman" w:cs="Times New Roman"/>
          <w:sz w:val="24"/>
          <w:szCs w:val="24"/>
        </w:rPr>
      </w:pPr>
    </w:p>
    <w:p w:rsidR="00F02AEF" w:rsidRDefault="00F02AEF"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00BE5660">
        <w:rPr>
          <w:rFonts w:ascii="Times New Roman" w:hAnsi="Times New Roman" w:cs="Times New Roman"/>
          <w:sz w:val="28"/>
          <w:szCs w:val="28"/>
        </w:rPr>
        <w:t xml:space="preserve"> </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00BE5660">
        <w:rPr>
          <w:rFonts w:ascii="Times New Roman" w:hAnsi="Times New Roman" w:cs="Times New Roman"/>
          <w:sz w:val="28"/>
          <w:szCs w:val="28"/>
        </w:rPr>
        <w:t xml:space="preserve"> </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w:t>
      </w:r>
      <w:r w:rsidR="00B162C7">
        <w:rPr>
          <w:rFonts w:ascii="Times New Roman" w:hAnsi="Times New Roman" w:cs="Times New Roman"/>
          <w:sz w:val="28"/>
          <w:szCs w:val="28"/>
        </w:rPr>
        <w:t>Министерство строительства</w:t>
      </w:r>
      <w:r w:rsidR="00585EF6">
        <w:rPr>
          <w:rFonts w:ascii="Times New Roman" w:hAnsi="Times New Roman" w:cs="Times New Roman"/>
          <w:sz w:val="28"/>
          <w:szCs w:val="28"/>
        </w:rPr>
        <w:t>, архитектуры и жилищно-коммунального хозяйства</w:t>
      </w:r>
      <w:r w:rsidR="00B162C7">
        <w:rPr>
          <w:rFonts w:ascii="Times New Roman" w:hAnsi="Times New Roman" w:cs="Times New Roman"/>
          <w:sz w:val="28"/>
          <w:szCs w:val="28"/>
        </w:rPr>
        <w:t xml:space="preserve">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1"/>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2"/>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3"/>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4</w:t>
      </w:r>
      <w:r w:rsidR="00B162C7">
        <w:rPr>
          <w:rFonts w:ascii="Times New Roman" w:hAnsi="Times New Roman" w:cs="Times New Roman"/>
          <w:i/>
          <w:sz w:val="24"/>
          <w:szCs w:val="24"/>
          <w:u w:val="single"/>
        </w:rPr>
        <w:t xml:space="preserve"> </w:t>
      </w:r>
      <w:r w:rsidR="002E521A" w:rsidRPr="00CD3461">
        <w:rPr>
          <w:rFonts w:ascii="Times New Roman" w:hAnsi="Times New Roman" w:cs="Times New Roman"/>
          <w:i/>
          <w:sz w:val="24"/>
          <w:szCs w:val="24"/>
          <w:u w:val="single"/>
        </w:rPr>
        <w:t xml:space="preserve">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00375C" w:rsidRPr="00CD3461" w:rsidRDefault="0000375C"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w:t>
      </w:r>
      <w:r w:rsidR="00E922E6">
        <w:rPr>
          <w:rFonts w:ascii="Times New Roman" w:hAnsi="Times New Roman" w:cs="Times New Roman"/>
          <w:i/>
          <w:sz w:val="24"/>
          <w:szCs w:val="24"/>
        </w:rPr>
        <w:t xml:space="preserve"> </w:t>
      </w:r>
      <w:r w:rsidR="0033466D" w:rsidRPr="00CD3461">
        <w:rPr>
          <w:rFonts w:ascii="Times New Roman" w:hAnsi="Times New Roman" w:cs="Times New Roman"/>
          <w:i/>
          <w:sz w:val="24"/>
          <w:szCs w:val="24"/>
        </w:rPr>
        <w:t>(не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894" w:rsidRDefault="00595894" w:rsidP="009E4821">
      <w:pPr>
        <w:spacing w:after="0" w:line="240" w:lineRule="auto"/>
      </w:pPr>
      <w:r>
        <w:separator/>
      </w:r>
    </w:p>
  </w:endnote>
  <w:endnote w:type="continuationSeparator" w:id="0">
    <w:p w:rsidR="00595894" w:rsidRDefault="00595894"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894" w:rsidRDefault="00595894" w:rsidP="009E4821">
      <w:pPr>
        <w:spacing w:after="0" w:line="240" w:lineRule="auto"/>
      </w:pPr>
      <w:r>
        <w:separator/>
      </w:r>
    </w:p>
  </w:footnote>
  <w:footnote w:type="continuationSeparator" w:id="0">
    <w:p w:rsidR="00595894" w:rsidRDefault="00595894" w:rsidP="009E4821">
      <w:pPr>
        <w:spacing w:after="0" w:line="240" w:lineRule="auto"/>
      </w:pPr>
      <w:r>
        <w:continuationSeparator/>
      </w:r>
    </w:p>
  </w:footnote>
  <w:footnote w:id="1">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3370"/>
      <w:docPartObj>
        <w:docPartGallery w:val="Page Numbers (Top of Page)"/>
        <w:docPartUnique/>
      </w:docPartObj>
    </w:sdtPr>
    <w:sdtEndPr/>
    <w:sdtContent>
      <w:p w:rsidR="002E3B58" w:rsidRDefault="000F1ACD">
        <w:pPr>
          <w:pStyle w:val="af8"/>
          <w:jc w:val="center"/>
        </w:pPr>
        <w:r>
          <w:fldChar w:fldCharType="begin"/>
        </w:r>
        <w:r w:rsidR="002E3B58">
          <w:instrText>PAGE   \* MERGEFORMAT</w:instrText>
        </w:r>
        <w:r>
          <w:fldChar w:fldCharType="separate"/>
        </w:r>
        <w:r w:rsidR="009D1982">
          <w:rPr>
            <w:noProof/>
          </w:rPr>
          <w:t>3</w:t>
        </w:r>
        <w:r>
          <w:fldChar w:fldCharType="end"/>
        </w:r>
      </w:p>
    </w:sdtContent>
  </w:sdt>
  <w:p w:rsidR="002E3B58" w:rsidRDefault="002E3B5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4265" w:hanging="720"/>
      </w:pPr>
      <w:rPr>
        <w:rFonts w:hint="default"/>
        <w:b/>
        <w:sz w:val="28"/>
        <w:szCs w:val="28"/>
      </w:rPr>
    </w:lvl>
    <w:lvl w:ilvl="1" w:tplc="04190019" w:tentative="1">
      <w:start w:val="1"/>
      <w:numFmt w:val="lowerLetter"/>
      <w:lvlText w:val="%2."/>
      <w:lvlJc w:val="left"/>
      <w:pPr>
        <w:ind w:left="4559" w:hanging="360"/>
      </w:pPr>
    </w:lvl>
    <w:lvl w:ilvl="2" w:tplc="0419001B" w:tentative="1">
      <w:start w:val="1"/>
      <w:numFmt w:val="lowerRoman"/>
      <w:lvlText w:val="%3."/>
      <w:lvlJc w:val="right"/>
      <w:pPr>
        <w:ind w:left="5279" w:hanging="180"/>
      </w:p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0375C"/>
    <w:rsid w:val="0000531A"/>
    <w:rsid w:val="000103E9"/>
    <w:rsid w:val="000111F1"/>
    <w:rsid w:val="00017271"/>
    <w:rsid w:val="0002038F"/>
    <w:rsid w:val="000204E9"/>
    <w:rsid w:val="00031801"/>
    <w:rsid w:val="00034758"/>
    <w:rsid w:val="000406FF"/>
    <w:rsid w:val="000421C7"/>
    <w:rsid w:val="00044D39"/>
    <w:rsid w:val="00047B21"/>
    <w:rsid w:val="000515EF"/>
    <w:rsid w:val="000558F3"/>
    <w:rsid w:val="00075B7F"/>
    <w:rsid w:val="000834CF"/>
    <w:rsid w:val="000A3780"/>
    <w:rsid w:val="000A6623"/>
    <w:rsid w:val="000A6649"/>
    <w:rsid w:val="000A671F"/>
    <w:rsid w:val="000A7554"/>
    <w:rsid w:val="000B03A3"/>
    <w:rsid w:val="000B555C"/>
    <w:rsid w:val="000B589E"/>
    <w:rsid w:val="000B6D93"/>
    <w:rsid w:val="000C1235"/>
    <w:rsid w:val="000C1E6B"/>
    <w:rsid w:val="000C40E0"/>
    <w:rsid w:val="000C7EC1"/>
    <w:rsid w:val="000D2DFB"/>
    <w:rsid w:val="000D5D4F"/>
    <w:rsid w:val="000E04AA"/>
    <w:rsid w:val="000E2493"/>
    <w:rsid w:val="000F0465"/>
    <w:rsid w:val="000F1ACD"/>
    <w:rsid w:val="000F57A1"/>
    <w:rsid w:val="000F72C6"/>
    <w:rsid w:val="00102715"/>
    <w:rsid w:val="0010455B"/>
    <w:rsid w:val="00112EC6"/>
    <w:rsid w:val="00115390"/>
    <w:rsid w:val="00122CCC"/>
    <w:rsid w:val="001265EA"/>
    <w:rsid w:val="00131B55"/>
    <w:rsid w:val="0013483D"/>
    <w:rsid w:val="0014438E"/>
    <w:rsid w:val="001472C9"/>
    <w:rsid w:val="00147F12"/>
    <w:rsid w:val="00154F97"/>
    <w:rsid w:val="00157761"/>
    <w:rsid w:val="001608A9"/>
    <w:rsid w:val="00166051"/>
    <w:rsid w:val="00170A14"/>
    <w:rsid w:val="0017121D"/>
    <w:rsid w:val="00174835"/>
    <w:rsid w:val="00180270"/>
    <w:rsid w:val="001837F8"/>
    <w:rsid w:val="001870EF"/>
    <w:rsid w:val="00197D1E"/>
    <w:rsid w:val="001A64DD"/>
    <w:rsid w:val="001A7EE3"/>
    <w:rsid w:val="001B1BFF"/>
    <w:rsid w:val="001B3C45"/>
    <w:rsid w:val="001B7599"/>
    <w:rsid w:val="001C2535"/>
    <w:rsid w:val="001C4604"/>
    <w:rsid w:val="001D2FCC"/>
    <w:rsid w:val="001E0AA3"/>
    <w:rsid w:val="001E1FF0"/>
    <w:rsid w:val="001E2B29"/>
    <w:rsid w:val="001F1721"/>
    <w:rsid w:val="001F37F9"/>
    <w:rsid w:val="001F4302"/>
    <w:rsid w:val="001F6C9C"/>
    <w:rsid w:val="00201B7B"/>
    <w:rsid w:val="00201FB7"/>
    <w:rsid w:val="0020544E"/>
    <w:rsid w:val="00207A81"/>
    <w:rsid w:val="0021048A"/>
    <w:rsid w:val="00210641"/>
    <w:rsid w:val="00211FAB"/>
    <w:rsid w:val="002174E5"/>
    <w:rsid w:val="00217D47"/>
    <w:rsid w:val="00220E14"/>
    <w:rsid w:val="002248E8"/>
    <w:rsid w:val="00230B18"/>
    <w:rsid w:val="002322F2"/>
    <w:rsid w:val="00233FF8"/>
    <w:rsid w:val="002347E2"/>
    <w:rsid w:val="00234F4A"/>
    <w:rsid w:val="002412B3"/>
    <w:rsid w:val="002457D5"/>
    <w:rsid w:val="002545C0"/>
    <w:rsid w:val="00254ED0"/>
    <w:rsid w:val="002566C4"/>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2B5"/>
    <w:rsid w:val="002D3A44"/>
    <w:rsid w:val="002D49D1"/>
    <w:rsid w:val="002D575F"/>
    <w:rsid w:val="002D68D8"/>
    <w:rsid w:val="002E3B58"/>
    <w:rsid w:val="002E521A"/>
    <w:rsid w:val="002E7B58"/>
    <w:rsid w:val="002F7C06"/>
    <w:rsid w:val="003012FC"/>
    <w:rsid w:val="00302095"/>
    <w:rsid w:val="00302872"/>
    <w:rsid w:val="00316242"/>
    <w:rsid w:val="00322680"/>
    <w:rsid w:val="00324806"/>
    <w:rsid w:val="003250E6"/>
    <w:rsid w:val="0033466D"/>
    <w:rsid w:val="00334700"/>
    <w:rsid w:val="00337D37"/>
    <w:rsid w:val="00347468"/>
    <w:rsid w:val="003476C1"/>
    <w:rsid w:val="00347876"/>
    <w:rsid w:val="003503C3"/>
    <w:rsid w:val="00351784"/>
    <w:rsid w:val="0036404C"/>
    <w:rsid w:val="003716B7"/>
    <w:rsid w:val="00373969"/>
    <w:rsid w:val="003757DB"/>
    <w:rsid w:val="0037604D"/>
    <w:rsid w:val="00376A8B"/>
    <w:rsid w:val="00376F97"/>
    <w:rsid w:val="003803CD"/>
    <w:rsid w:val="003835D1"/>
    <w:rsid w:val="00384362"/>
    <w:rsid w:val="0038742A"/>
    <w:rsid w:val="003966DC"/>
    <w:rsid w:val="003A053C"/>
    <w:rsid w:val="003A3661"/>
    <w:rsid w:val="003A4E26"/>
    <w:rsid w:val="003B3C8B"/>
    <w:rsid w:val="003B50EC"/>
    <w:rsid w:val="003B5528"/>
    <w:rsid w:val="003B5555"/>
    <w:rsid w:val="003C293C"/>
    <w:rsid w:val="003C53CE"/>
    <w:rsid w:val="003C5833"/>
    <w:rsid w:val="003C67F8"/>
    <w:rsid w:val="003C68B0"/>
    <w:rsid w:val="003D46D0"/>
    <w:rsid w:val="003D6C67"/>
    <w:rsid w:val="003D6EFB"/>
    <w:rsid w:val="003E4B4C"/>
    <w:rsid w:val="003F301E"/>
    <w:rsid w:val="00400D37"/>
    <w:rsid w:val="00400E15"/>
    <w:rsid w:val="004027F9"/>
    <w:rsid w:val="00404512"/>
    <w:rsid w:val="00411EA3"/>
    <w:rsid w:val="00412677"/>
    <w:rsid w:val="00420E38"/>
    <w:rsid w:val="00421197"/>
    <w:rsid w:val="00421359"/>
    <w:rsid w:val="00423B22"/>
    <w:rsid w:val="004241E3"/>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65F7"/>
    <w:rsid w:val="004A2324"/>
    <w:rsid w:val="004A2BA3"/>
    <w:rsid w:val="004A4A46"/>
    <w:rsid w:val="004B2042"/>
    <w:rsid w:val="004B4ED0"/>
    <w:rsid w:val="004C4DDC"/>
    <w:rsid w:val="004C74A1"/>
    <w:rsid w:val="004C7E98"/>
    <w:rsid w:val="004D0BA2"/>
    <w:rsid w:val="004E5A7F"/>
    <w:rsid w:val="004E631E"/>
    <w:rsid w:val="004E7C81"/>
    <w:rsid w:val="004E7CA7"/>
    <w:rsid w:val="004F1A64"/>
    <w:rsid w:val="004F3A78"/>
    <w:rsid w:val="005006C7"/>
    <w:rsid w:val="0050341B"/>
    <w:rsid w:val="00510680"/>
    <w:rsid w:val="005163C5"/>
    <w:rsid w:val="00520E23"/>
    <w:rsid w:val="00523365"/>
    <w:rsid w:val="005242D8"/>
    <w:rsid w:val="00525527"/>
    <w:rsid w:val="00530D85"/>
    <w:rsid w:val="0053148C"/>
    <w:rsid w:val="0053491F"/>
    <w:rsid w:val="00535094"/>
    <w:rsid w:val="00536F47"/>
    <w:rsid w:val="00541CA4"/>
    <w:rsid w:val="005450E2"/>
    <w:rsid w:val="00546321"/>
    <w:rsid w:val="005467A3"/>
    <w:rsid w:val="00550B9B"/>
    <w:rsid w:val="005520A8"/>
    <w:rsid w:val="00555F5F"/>
    <w:rsid w:val="005574C4"/>
    <w:rsid w:val="005615A7"/>
    <w:rsid w:val="0056384B"/>
    <w:rsid w:val="00565956"/>
    <w:rsid w:val="00571664"/>
    <w:rsid w:val="00581BEE"/>
    <w:rsid w:val="00585EF6"/>
    <w:rsid w:val="005927F9"/>
    <w:rsid w:val="00595894"/>
    <w:rsid w:val="00596D07"/>
    <w:rsid w:val="00597B40"/>
    <w:rsid w:val="005A31BB"/>
    <w:rsid w:val="005B55F7"/>
    <w:rsid w:val="005C77E4"/>
    <w:rsid w:val="005D0A1E"/>
    <w:rsid w:val="005D5C6D"/>
    <w:rsid w:val="005E772E"/>
    <w:rsid w:val="005F1E0B"/>
    <w:rsid w:val="005F2F03"/>
    <w:rsid w:val="005F3978"/>
    <w:rsid w:val="006009FF"/>
    <w:rsid w:val="006028D3"/>
    <w:rsid w:val="00617194"/>
    <w:rsid w:val="0062417E"/>
    <w:rsid w:val="00626059"/>
    <w:rsid w:val="00627D4C"/>
    <w:rsid w:val="00630415"/>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F4E79"/>
    <w:rsid w:val="006F5917"/>
    <w:rsid w:val="006F5A55"/>
    <w:rsid w:val="00701604"/>
    <w:rsid w:val="00705C25"/>
    <w:rsid w:val="007064C3"/>
    <w:rsid w:val="007070DC"/>
    <w:rsid w:val="00710E6D"/>
    <w:rsid w:val="00717F59"/>
    <w:rsid w:val="00723C4F"/>
    <w:rsid w:val="00723E3D"/>
    <w:rsid w:val="00733D3F"/>
    <w:rsid w:val="0074069F"/>
    <w:rsid w:val="0075099D"/>
    <w:rsid w:val="0075224E"/>
    <w:rsid w:val="007524DF"/>
    <w:rsid w:val="0075731B"/>
    <w:rsid w:val="0075746A"/>
    <w:rsid w:val="007711E4"/>
    <w:rsid w:val="00773C1A"/>
    <w:rsid w:val="0077518C"/>
    <w:rsid w:val="0079132B"/>
    <w:rsid w:val="00796484"/>
    <w:rsid w:val="007A2465"/>
    <w:rsid w:val="007A574A"/>
    <w:rsid w:val="007B19AF"/>
    <w:rsid w:val="007B24C1"/>
    <w:rsid w:val="007B3209"/>
    <w:rsid w:val="007B6AEC"/>
    <w:rsid w:val="007C2C8D"/>
    <w:rsid w:val="007C7506"/>
    <w:rsid w:val="007D38A3"/>
    <w:rsid w:val="007E0904"/>
    <w:rsid w:val="007E189B"/>
    <w:rsid w:val="007E439A"/>
    <w:rsid w:val="007F16A8"/>
    <w:rsid w:val="007F4DD9"/>
    <w:rsid w:val="007F5077"/>
    <w:rsid w:val="00806492"/>
    <w:rsid w:val="00811E3B"/>
    <w:rsid w:val="00814707"/>
    <w:rsid w:val="00822C56"/>
    <w:rsid w:val="008240B2"/>
    <w:rsid w:val="00826049"/>
    <w:rsid w:val="008261C8"/>
    <w:rsid w:val="00830E6B"/>
    <w:rsid w:val="00833BA7"/>
    <w:rsid w:val="00834951"/>
    <w:rsid w:val="00841120"/>
    <w:rsid w:val="008447BC"/>
    <w:rsid w:val="00844F6C"/>
    <w:rsid w:val="00846987"/>
    <w:rsid w:val="00852AE2"/>
    <w:rsid w:val="00857C24"/>
    <w:rsid w:val="00860D0B"/>
    <w:rsid w:val="008709A1"/>
    <w:rsid w:val="00891FCF"/>
    <w:rsid w:val="00894CC4"/>
    <w:rsid w:val="00896A49"/>
    <w:rsid w:val="00897901"/>
    <w:rsid w:val="008A2198"/>
    <w:rsid w:val="008A7289"/>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75C4"/>
    <w:rsid w:val="0094287E"/>
    <w:rsid w:val="00950FA7"/>
    <w:rsid w:val="00952E56"/>
    <w:rsid w:val="00966A70"/>
    <w:rsid w:val="00967AE7"/>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1982"/>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50D5"/>
    <w:rsid w:val="00A56793"/>
    <w:rsid w:val="00A56C47"/>
    <w:rsid w:val="00A57F1B"/>
    <w:rsid w:val="00A6380D"/>
    <w:rsid w:val="00A66CCD"/>
    <w:rsid w:val="00A729C0"/>
    <w:rsid w:val="00A8226F"/>
    <w:rsid w:val="00A8279A"/>
    <w:rsid w:val="00A85623"/>
    <w:rsid w:val="00A90980"/>
    <w:rsid w:val="00A95413"/>
    <w:rsid w:val="00AA29C1"/>
    <w:rsid w:val="00AA2F75"/>
    <w:rsid w:val="00AA3D22"/>
    <w:rsid w:val="00AA5A22"/>
    <w:rsid w:val="00AA77E6"/>
    <w:rsid w:val="00AB3743"/>
    <w:rsid w:val="00AC18EF"/>
    <w:rsid w:val="00AC32EC"/>
    <w:rsid w:val="00AC36C3"/>
    <w:rsid w:val="00AC5FC2"/>
    <w:rsid w:val="00AC6BFE"/>
    <w:rsid w:val="00AD043E"/>
    <w:rsid w:val="00AD13E3"/>
    <w:rsid w:val="00AD43A6"/>
    <w:rsid w:val="00AD6BF0"/>
    <w:rsid w:val="00AE1A7F"/>
    <w:rsid w:val="00AE2F5D"/>
    <w:rsid w:val="00AE7D4F"/>
    <w:rsid w:val="00AF12E9"/>
    <w:rsid w:val="00AF169D"/>
    <w:rsid w:val="00AF3E81"/>
    <w:rsid w:val="00AF3F17"/>
    <w:rsid w:val="00AF6C6A"/>
    <w:rsid w:val="00AF6F59"/>
    <w:rsid w:val="00B03E65"/>
    <w:rsid w:val="00B11858"/>
    <w:rsid w:val="00B12B65"/>
    <w:rsid w:val="00B13478"/>
    <w:rsid w:val="00B1458E"/>
    <w:rsid w:val="00B162C7"/>
    <w:rsid w:val="00B21129"/>
    <w:rsid w:val="00B32771"/>
    <w:rsid w:val="00B336B8"/>
    <w:rsid w:val="00B403E2"/>
    <w:rsid w:val="00B55270"/>
    <w:rsid w:val="00B56DA7"/>
    <w:rsid w:val="00B60540"/>
    <w:rsid w:val="00B60A15"/>
    <w:rsid w:val="00B712A0"/>
    <w:rsid w:val="00B81D91"/>
    <w:rsid w:val="00BA437C"/>
    <w:rsid w:val="00BA7E82"/>
    <w:rsid w:val="00BB3504"/>
    <w:rsid w:val="00BB3C7A"/>
    <w:rsid w:val="00BB5131"/>
    <w:rsid w:val="00BB7538"/>
    <w:rsid w:val="00BC039E"/>
    <w:rsid w:val="00BC27D1"/>
    <w:rsid w:val="00BC7661"/>
    <w:rsid w:val="00BD2FA1"/>
    <w:rsid w:val="00BE5660"/>
    <w:rsid w:val="00BF0EAC"/>
    <w:rsid w:val="00BF1F29"/>
    <w:rsid w:val="00BF4269"/>
    <w:rsid w:val="00BF7E27"/>
    <w:rsid w:val="00C02B54"/>
    <w:rsid w:val="00C064E9"/>
    <w:rsid w:val="00C07AC6"/>
    <w:rsid w:val="00C1014C"/>
    <w:rsid w:val="00C128C8"/>
    <w:rsid w:val="00C14015"/>
    <w:rsid w:val="00C141B4"/>
    <w:rsid w:val="00C1562D"/>
    <w:rsid w:val="00C21188"/>
    <w:rsid w:val="00C21933"/>
    <w:rsid w:val="00C230E5"/>
    <w:rsid w:val="00C2447A"/>
    <w:rsid w:val="00C35E9F"/>
    <w:rsid w:val="00C40FF8"/>
    <w:rsid w:val="00C521DF"/>
    <w:rsid w:val="00C555B0"/>
    <w:rsid w:val="00C56AF5"/>
    <w:rsid w:val="00C63767"/>
    <w:rsid w:val="00C65CD5"/>
    <w:rsid w:val="00C709B4"/>
    <w:rsid w:val="00C73473"/>
    <w:rsid w:val="00C73C84"/>
    <w:rsid w:val="00C7603F"/>
    <w:rsid w:val="00C7755C"/>
    <w:rsid w:val="00C77AD7"/>
    <w:rsid w:val="00C838A7"/>
    <w:rsid w:val="00C85E5F"/>
    <w:rsid w:val="00C8651D"/>
    <w:rsid w:val="00C905DF"/>
    <w:rsid w:val="00C9352B"/>
    <w:rsid w:val="00C97715"/>
    <w:rsid w:val="00CA36CB"/>
    <w:rsid w:val="00CA64B6"/>
    <w:rsid w:val="00CB0EA0"/>
    <w:rsid w:val="00CB2A0F"/>
    <w:rsid w:val="00CB4325"/>
    <w:rsid w:val="00CC0C97"/>
    <w:rsid w:val="00CD3461"/>
    <w:rsid w:val="00CD5325"/>
    <w:rsid w:val="00CD5B28"/>
    <w:rsid w:val="00CE0BB1"/>
    <w:rsid w:val="00CE26C8"/>
    <w:rsid w:val="00CF0716"/>
    <w:rsid w:val="00CF0854"/>
    <w:rsid w:val="00CF2B55"/>
    <w:rsid w:val="00CF33E3"/>
    <w:rsid w:val="00CF5D0D"/>
    <w:rsid w:val="00D0480E"/>
    <w:rsid w:val="00D07E26"/>
    <w:rsid w:val="00D07FE7"/>
    <w:rsid w:val="00D10A39"/>
    <w:rsid w:val="00D12237"/>
    <w:rsid w:val="00D140A7"/>
    <w:rsid w:val="00D225B1"/>
    <w:rsid w:val="00D23FE3"/>
    <w:rsid w:val="00D34637"/>
    <w:rsid w:val="00D36F54"/>
    <w:rsid w:val="00D4023D"/>
    <w:rsid w:val="00D415FC"/>
    <w:rsid w:val="00D41BAF"/>
    <w:rsid w:val="00D44756"/>
    <w:rsid w:val="00D50888"/>
    <w:rsid w:val="00D66EA6"/>
    <w:rsid w:val="00D7124D"/>
    <w:rsid w:val="00D7237E"/>
    <w:rsid w:val="00D84A1A"/>
    <w:rsid w:val="00D85A8A"/>
    <w:rsid w:val="00D90A50"/>
    <w:rsid w:val="00D90F8E"/>
    <w:rsid w:val="00DA1D45"/>
    <w:rsid w:val="00DA3F23"/>
    <w:rsid w:val="00DB442E"/>
    <w:rsid w:val="00DB5CE1"/>
    <w:rsid w:val="00DB63B7"/>
    <w:rsid w:val="00DD24E1"/>
    <w:rsid w:val="00DE0025"/>
    <w:rsid w:val="00DE11E5"/>
    <w:rsid w:val="00DE2FD2"/>
    <w:rsid w:val="00DF0140"/>
    <w:rsid w:val="00E142DC"/>
    <w:rsid w:val="00E15507"/>
    <w:rsid w:val="00E211B1"/>
    <w:rsid w:val="00E2795E"/>
    <w:rsid w:val="00E32765"/>
    <w:rsid w:val="00E35D35"/>
    <w:rsid w:val="00E37AD8"/>
    <w:rsid w:val="00E42775"/>
    <w:rsid w:val="00E47DDF"/>
    <w:rsid w:val="00E52179"/>
    <w:rsid w:val="00E528F5"/>
    <w:rsid w:val="00E54FC2"/>
    <w:rsid w:val="00E572FC"/>
    <w:rsid w:val="00E60D45"/>
    <w:rsid w:val="00E6391E"/>
    <w:rsid w:val="00E661BA"/>
    <w:rsid w:val="00E670A7"/>
    <w:rsid w:val="00E67A95"/>
    <w:rsid w:val="00E7206A"/>
    <w:rsid w:val="00E72EFB"/>
    <w:rsid w:val="00E83D6D"/>
    <w:rsid w:val="00E855DC"/>
    <w:rsid w:val="00E856FC"/>
    <w:rsid w:val="00E877FA"/>
    <w:rsid w:val="00E922E6"/>
    <w:rsid w:val="00E94A4F"/>
    <w:rsid w:val="00E9771E"/>
    <w:rsid w:val="00EA4698"/>
    <w:rsid w:val="00EB20EF"/>
    <w:rsid w:val="00EB50B3"/>
    <w:rsid w:val="00EB6D5A"/>
    <w:rsid w:val="00EC0577"/>
    <w:rsid w:val="00EC11EC"/>
    <w:rsid w:val="00EC57A9"/>
    <w:rsid w:val="00EC6524"/>
    <w:rsid w:val="00ED1046"/>
    <w:rsid w:val="00ED47F3"/>
    <w:rsid w:val="00ED5368"/>
    <w:rsid w:val="00ED5CC0"/>
    <w:rsid w:val="00ED6DAC"/>
    <w:rsid w:val="00EE1A75"/>
    <w:rsid w:val="00EE1E26"/>
    <w:rsid w:val="00EE42A8"/>
    <w:rsid w:val="00EE4B09"/>
    <w:rsid w:val="00EF0697"/>
    <w:rsid w:val="00EF31E1"/>
    <w:rsid w:val="00EF3B3E"/>
    <w:rsid w:val="00EF4936"/>
    <w:rsid w:val="00EF78B4"/>
    <w:rsid w:val="00F02AEF"/>
    <w:rsid w:val="00F10062"/>
    <w:rsid w:val="00F1123B"/>
    <w:rsid w:val="00F146BF"/>
    <w:rsid w:val="00F2121C"/>
    <w:rsid w:val="00F302D1"/>
    <w:rsid w:val="00F4707F"/>
    <w:rsid w:val="00F561B1"/>
    <w:rsid w:val="00F5660B"/>
    <w:rsid w:val="00F56A25"/>
    <w:rsid w:val="00F6275E"/>
    <w:rsid w:val="00F62B79"/>
    <w:rsid w:val="00F64B45"/>
    <w:rsid w:val="00F725BC"/>
    <w:rsid w:val="00F84753"/>
    <w:rsid w:val="00F976AE"/>
    <w:rsid w:val="00FA037B"/>
    <w:rsid w:val="00FA1156"/>
    <w:rsid w:val="00FB3957"/>
    <w:rsid w:val="00FB55FB"/>
    <w:rsid w:val="00FC5A61"/>
    <w:rsid w:val="00FD0661"/>
    <w:rsid w:val="00FD1ADF"/>
    <w:rsid w:val="00FD2BE3"/>
    <w:rsid w:val="00FE0A89"/>
    <w:rsid w:val="00FE2CDB"/>
    <w:rsid w:val="00FE374A"/>
    <w:rsid w:val="00FF11E5"/>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CA94E-8F65-4CBB-B16A-A3DDDB58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3191">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mailto:fkremont@admin-smolensk.ru" TargetMode="External"/><Relationship Id="rId18" Type="http://schemas.openxmlformats.org/officeDocument/2006/relationships/hyperlink" Target="consultantplus://offline/ref=2D18A87CD8CE7971514A3E21B4A676A564F30B3B8E56E5D7125663FAB7F15EEB4A1D0D670AC65101BCd8L" TargetMode="External"/><Relationship Id="rId3" Type="http://schemas.openxmlformats.org/officeDocument/2006/relationships/styles" Target="styles.xml"/><Relationship Id="rId21" Type="http://schemas.openxmlformats.org/officeDocument/2006/relationships/hyperlink" Target="http://minstroy.e-dag.ru/" TargetMode="External"/><Relationship Id="rId7" Type="http://schemas.openxmlformats.org/officeDocument/2006/relationships/endnotes" Target="endnotes.xml"/><Relationship Id="rId12" Type="http://schemas.openxmlformats.org/officeDocument/2006/relationships/hyperlink" Target="mailto:info@dagfkr.ru" TargetMode="External"/><Relationship Id="rId17" Type="http://schemas.openxmlformats.org/officeDocument/2006/relationships/hyperlink" Target="http://minstroy.e-da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316A3518FFB1770A4819F39D7FB7CB735EFD78B66F43740C516E547D1u6G" TargetMode="External"/><Relationship Id="rId20" Type="http://schemas.openxmlformats.org/officeDocument/2006/relationships/hyperlink" Target="consultantplus://offline/ref=2D18A87CD8CE7971514A3E21B4A676A564F30B3B8E56E5D7125663FAB7F15EEB4A1D0D670AC65101BCd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stroy.e-dag.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902192610" TargetMode="External"/><Relationship Id="rId23" Type="http://schemas.openxmlformats.org/officeDocument/2006/relationships/header" Target="header1.xml"/><Relationship Id="rId10" Type="http://schemas.openxmlformats.org/officeDocument/2006/relationships/hyperlink" Target="mailto:msgkhrd@mail.ru" TargetMode="External"/><Relationship Id="rId19" Type="http://schemas.openxmlformats.org/officeDocument/2006/relationships/hyperlink" Target="consultantplus://offline/ref=2D18A87CD8CE7971514A3E21B4A676A564F30B3B8E56E5D7125663FAB7F15EEB4A1D0D670AC65101BCd8L" TargetMode="External"/><Relationship Id="rId4" Type="http://schemas.openxmlformats.org/officeDocument/2006/relationships/settings" Target="settings.xml"/><Relationship Id="rId9" Type="http://schemas.openxmlformats.org/officeDocument/2006/relationships/hyperlink" Target="consultantplus://offline/ref=2D18A87CD8CE7971514A3E21B4A676A564F30B3B8E56E5D7125663FAB7F15EEB4A1D0D670AC65101BCd8L" TargetMode="External"/><Relationship Id="rId14" Type="http://schemas.openxmlformats.org/officeDocument/2006/relationships/hyperlink" Target="https://roseltorg.ru" TargetMode="External"/><Relationship Id="rId22"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041AB-7989-4A37-9149-8C650ADF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7785</Words>
  <Characters>44375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admin</cp:lastModifiedBy>
  <cp:revision>18</cp:revision>
  <cp:lastPrinted>2020-06-04T08:44:00Z</cp:lastPrinted>
  <dcterms:created xsi:type="dcterms:W3CDTF">2019-10-10T13:55:00Z</dcterms:created>
  <dcterms:modified xsi:type="dcterms:W3CDTF">2022-03-22T11:50:00Z</dcterms:modified>
</cp:coreProperties>
</file>